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sz w:val="96"/>
          <w:szCs w:val="96"/>
        </w:rPr>
      </w:pPr>
      <w:r>
        <w:rPr>
          <w:rFonts w:hint="eastAsia" w:ascii="方正小标宋_GBK" w:eastAsia="方正小标宋_GBK"/>
          <w:sz w:val="96"/>
          <w:szCs w:val="96"/>
        </w:rPr>
        <w:t>教育质量年度报告</w:t>
      </w:r>
    </w:p>
    <w:p>
      <w:pPr>
        <w:jc w:val="center"/>
        <w:rPr>
          <w:rFonts w:ascii="方正小标宋_GBK" w:eastAsia="方正小标宋_GBK"/>
        </w:rPr>
      </w:pPr>
      <w:r>
        <w:rPr>
          <w:rFonts w:hint="eastAsia" w:ascii="方正小标宋_GBK" w:eastAsia="方正小标宋_GBK"/>
          <w:sz w:val="72"/>
          <w:szCs w:val="72"/>
        </w:rPr>
        <w:t>（2022年12月）</w:t>
      </w:r>
    </w:p>
    <w:p>
      <w:r>
        <w:drawing>
          <wp:anchor distT="0" distB="0" distL="114300" distR="114300" simplePos="0" relativeHeight="251660288" behindDoc="0" locked="0" layoutInCell="1" allowOverlap="1">
            <wp:simplePos x="0" y="0"/>
            <wp:positionH relativeFrom="column">
              <wp:posOffset>1661795</wp:posOffset>
            </wp:positionH>
            <wp:positionV relativeFrom="paragraph">
              <wp:posOffset>619125</wp:posOffset>
            </wp:positionV>
            <wp:extent cx="2073910" cy="2035175"/>
            <wp:effectExtent l="19050" t="0" r="2540" b="0"/>
            <wp:wrapTopAndBottom/>
            <wp:docPr id="2" name="图片 2" descr="新世纪校微"/>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新世纪校微"/>
                    <pic:cNvPicPr>
                      <a:picLocks noChangeAspect="true" noChangeArrowheads="true"/>
                    </pic:cNvPicPr>
                  </pic:nvPicPr>
                  <pic:blipFill>
                    <a:blip r:embed="rId5"/>
                    <a:srcRect/>
                    <a:stretch>
                      <a:fillRect/>
                    </a:stretch>
                  </pic:blipFill>
                  <pic:spPr>
                    <a:xfrm>
                      <a:off x="0" y="0"/>
                      <a:ext cx="2073910" cy="2035175"/>
                    </a:xfrm>
                    <a:prstGeom prst="rect">
                      <a:avLst/>
                    </a:prstGeom>
                    <a:noFill/>
                  </pic:spPr>
                </pic:pic>
              </a:graphicData>
            </a:graphic>
          </wp:anchor>
        </w:drawing>
      </w:r>
    </w:p>
    <w:p/>
    <w:p/>
    <w:p/>
    <w:p/>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pPr>
      <w:r>
        <w:t>渭南西北新世纪职业中等专业学校</w:t>
      </w:r>
    </w:p>
    <w:p>
      <w:pPr>
        <w:jc w:val="center"/>
      </w:pPr>
      <w:r>
        <w:t>2022年12月</w:t>
      </w:r>
      <w:r>
        <w:rPr>
          <w:rFonts w:hint="eastAsia"/>
        </w:rPr>
        <w:t>2</w:t>
      </w:r>
      <w:r>
        <w:t>0日</w:t>
      </w:r>
    </w:p>
    <w:p>
      <w:pPr>
        <w:jc w:val="center"/>
        <w:rPr>
          <w:rFonts w:hint="eastAsia" w:ascii="黑体" w:hAnsi="黑体" w:eastAsia="黑体"/>
          <w:sz w:val="56"/>
        </w:rPr>
      </w:pPr>
    </w:p>
    <w:p>
      <w:pPr>
        <w:jc w:val="center"/>
        <w:rPr>
          <w:rFonts w:ascii="黑体" w:hAnsi="黑体" w:eastAsia="黑体"/>
          <w:sz w:val="56"/>
        </w:rPr>
      </w:pPr>
      <w:r>
        <w:rPr>
          <w:rFonts w:hint="eastAsia" w:ascii="黑体" w:hAnsi="黑体" w:eastAsia="黑体"/>
          <w:sz w:val="56"/>
        </w:rPr>
        <w:t>目    录</w:t>
      </w:r>
    </w:p>
    <w:p>
      <w:pPr>
        <w:tabs>
          <w:tab w:val="right" w:leader="middleDot" w:pos="8789"/>
        </w:tabs>
        <w:rPr>
          <w:snapToGrid w:val="0"/>
          <w:kern w:val="0"/>
        </w:rPr>
      </w:pPr>
      <w:r>
        <w:rPr>
          <w:rFonts w:hint="eastAsia"/>
          <w:snapToGrid w:val="0"/>
          <w:kern w:val="0"/>
        </w:rPr>
        <w:t>前言</w:t>
      </w:r>
      <w:r>
        <w:rPr>
          <w:rFonts w:hint="eastAsia"/>
          <w:snapToGrid w:val="0"/>
          <w:kern w:val="0"/>
        </w:rPr>
        <w:tab/>
      </w:r>
      <w:r>
        <w:rPr>
          <w:rFonts w:hint="eastAsia"/>
          <w:snapToGrid w:val="0"/>
          <w:kern w:val="0"/>
        </w:rPr>
        <w:t>2</w:t>
      </w:r>
    </w:p>
    <w:p>
      <w:pPr>
        <w:tabs>
          <w:tab w:val="left" w:leader="middleDot" w:pos="8647"/>
        </w:tabs>
        <w:snapToGrid w:val="0"/>
        <w:spacing w:line="640" w:lineRule="exact"/>
        <w:rPr>
          <w:bCs/>
          <w:snapToGrid w:val="0"/>
          <w:spacing w:val="0"/>
          <w:kern w:val="0"/>
        </w:rPr>
      </w:pPr>
      <w:r>
        <w:rPr>
          <w:bCs/>
          <w:snapToGrid w:val="0"/>
          <w:spacing w:val="0"/>
          <w:kern w:val="0"/>
        </w:rPr>
        <w:t>1 学生发展质量</w:t>
      </w:r>
      <w:r>
        <w:rPr>
          <w:rFonts w:hint="eastAsia"/>
          <w:bCs/>
          <w:snapToGrid w:val="0"/>
          <w:spacing w:val="0"/>
          <w:kern w:val="0"/>
        </w:rPr>
        <w:tab/>
      </w:r>
      <w:r>
        <w:rPr>
          <w:rFonts w:hint="eastAsia"/>
          <w:bCs/>
          <w:snapToGrid w:val="0"/>
          <w:spacing w:val="0"/>
          <w:kern w:val="0"/>
        </w:rPr>
        <w:t>4</w:t>
      </w:r>
    </w:p>
    <w:p>
      <w:pPr>
        <w:tabs>
          <w:tab w:val="left" w:leader="middleDot" w:pos="8647"/>
        </w:tabs>
        <w:snapToGrid w:val="0"/>
        <w:spacing w:line="640" w:lineRule="exact"/>
        <w:rPr>
          <w:snapToGrid w:val="0"/>
          <w:spacing w:val="0"/>
          <w:kern w:val="0"/>
        </w:rPr>
      </w:pPr>
      <w:r>
        <w:rPr>
          <w:snapToGrid w:val="0"/>
          <w:spacing w:val="0"/>
          <w:kern w:val="0"/>
        </w:rPr>
        <w:t>1.1党建引领</w:t>
      </w:r>
      <w:r>
        <w:rPr>
          <w:rFonts w:hint="eastAsia"/>
          <w:snapToGrid w:val="0"/>
          <w:spacing w:val="0"/>
          <w:kern w:val="0"/>
        </w:rPr>
        <w:tab/>
      </w:r>
      <w:r>
        <w:rPr>
          <w:rFonts w:hint="eastAsia"/>
          <w:snapToGrid w:val="0"/>
          <w:spacing w:val="0"/>
          <w:kern w:val="0"/>
        </w:rPr>
        <w:t>4</w:t>
      </w:r>
    </w:p>
    <w:p>
      <w:pPr>
        <w:tabs>
          <w:tab w:val="left" w:leader="middleDot" w:pos="8647"/>
        </w:tabs>
        <w:snapToGrid w:val="0"/>
        <w:spacing w:line="640" w:lineRule="exact"/>
        <w:rPr>
          <w:snapToGrid w:val="0"/>
          <w:spacing w:val="0"/>
          <w:kern w:val="0"/>
        </w:rPr>
      </w:pPr>
      <w:r>
        <w:rPr>
          <w:snapToGrid w:val="0"/>
          <w:spacing w:val="0"/>
          <w:kern w:val="0"/>
        </w:rPr>
        <w:t>1.2立德树人</w:t>
      </w:r>
      <w:r>
        <w:rPr>
          <w:rFonts w:hint="eastAsia"/>
          <w:snapToGrid w:val="0"/>
          <w:spacing w:val="0"/>
          <w:kern w:val="0"/>
        </w:rPr>
        <w:tab/>
      </w:r>
      <w:r>
        <w:rPr>
          <w:rFonts w:hint="eastAsia"/>
          <w:snapToGrid w:val="0"/>
          <w:spacing w:val="0"/>
          <w:kern w:val="0"/>
        </w:rPr>
        <w:t>6</w:t>
      </w:r>
    </w:p>
    <w:p>
      <w:pPr>
        <w:tabs>
          <w:tab w:val="left" w:leader="middleDot" w:pos="8647"/>
        </w:tabs>
        <w:snapToGrid w:val="0"/>
        <w:spacing w:line="640" w:lineRule="exact"/>
        <w:rPr>
          <w:snapToGrid w:val="0"/>
          <w:spacing w:val="0"/>
          <w:kern w:val="0"/>
        </w:rPr>
      </w:pPr>
      <w:r>
        <w:rPr>
          <w:snapToGrid w:val="0"/>
          <w:spacing w:val="0"/>
          <w:kern w:val="0"/>
        </w:rPr>
        <w:t>1.3在校体验</w:t>
      </w:r>
      <w:r>
        <w:rPr>
          <w:rFonts w:hint="eastAsia"/>
          <w:snapToGrid w:val="0"/>
          <w:spacing w:val="0"/>
          <w:kern w:val="0"/>
        </w:rPr>
        <w:tab/>
      </w:r>
      <w:r>
        <w:rPr>
          <w:rFonts w:hint="eastAsia"/>
          <w:snapToGrid w:val="0"/>
          <w:spacing w:val="0"/>
          <w:kern w:val="0"/>
        </w:rPr>
        <w:t>9</w:t>
      </w:r>
    </w:p>
    <w:p>
      <w:pPr>
        <w:tabs>
          <w:tab w:val="left" w:leader="middleDot" w:pos="8505"/>
        </w:tabs>
        <w:snapToGrid w:val="0"/>
        <w:spacing w:line="640" w:lineRule="exact"/>
        <w:rPr>
          <w:snapToGrid w:val="0"/>
          <w:spacing w:val="0"/>
          <w:kern w:val="0"/>
        </w:rPr>
      </w:pPr>
      <w:r>
        <w:rPr>
          <w:snapToGrid w:val="0"/>
          <w:spacing w:val="0"/>
          <w:kern w:val="0"/>
        </w:rPr>
        <w:t>1.4就业质量</w:t>
      </w:r>
      <w:r>
        <w:rPr>
          <w:rFonts w:hint="eastAsia"/>
          <w:snapToGrid w:val="0"/>
          <w:spacing w:val="0"/>
          <w:kern w:val="0"/>
        </w:rPr>
        <w:tab/>
      </w:r>
      <w:r>
        <w:rPr>
          <w:rFonts w:hint="eastAsia"/>
          <w:snapToGrid w:val="0"/>
          <w:spacing w:val="0"/>
          <w:kern w:val="0"/>
        </w:rPr>
        <w:t>10</w:t>
      </w:r>
    </w:p>
    <w:p>
      <w:pPr>
        <w:tabs>
          <w:tab w:val="left" w:leader="middleDot" w:pos="8480"/>
        </w:tabs>
        <w:snapToGrid w:val="0"/>
        <w:spacing w:line="640" w:lineRule="exact"/>
        <w:rPr>
          <w:snapToGrid w:val="0"/>
          <w:spacing w:val="0"/>
          <w:kern w:val="0"/>
        </w:rPr>
      </w:pPr>
      <w:r>
        <w:rPr>
          <w:snapToGrid w:val="0"/>
          <w:spacing w:val="0"/>
          <w:kern w:val="0"/>
        </w:rPr>
        <w:t>1.5创新创业</w:t>
      </w:r>
      <w:r>
        <w:rPr>
          <w:rFonts w:hint="eastAsia"/>
          <w:snapToGrid w:val="0"/>
          <w:spacing w:val="0"/>
          <w:kern w:val="0"/>
        </w:rPr>
        <w:tab/>
      </w:r>
      <w:r>
        <w:rPr>
          <w:rFonts w:hint="eastAsia"/>
          <w:snapToGrid w:val="0"/>
          <w:spacing w:val="0"/>
          <w:kern w:val="0"/>
        </w:rPr>
        <w:t>11</w:t>
      </w:r>
    </w:p>
    <w:p>
      <w:pPr>
        <w:tabs>
          <w:tab w:val="left" w:leader="middleDot" w:pos="8480"/>
        </w:tabs>
        <w:snapToGrid w:val="0"/>
        <w:spacing w:line="640" w:lineRule="exact"/>
        <w:rPr>
          <w:snapToGrid w:val="0"/>
          <w:spacing w:val="0"/>
          <w:kern w:val="0"/>
        </w:rPr>
      </w:pPr>
      <w:r>
        <w:rPr>
          <w:snapToGrid w:val="0"/>
          <w:spacing w:val="0"/>
          <w:kern w:val="0"/>
        </w:rPr>
        <w:t>1.6技能大赛</w:t>
      </w:r>
      <w:r>
        <w:rPr>
          <w:rFonts w:hint="eastAsia"/>
          <w:snapToGrid w:val="0"/>
          <w:spacing w:val="0"/>
          <w:kern w:val="0"/>
        </w:rPr>
        <w:tab/>
      </w:r>
      <w:r>
        <w:rPr>
          <w:rFonts w:hint="eastAsia"/>
          <w:snapToGrid w:val="0"/>
          <w:spacing w:val="0"/>
          <w:kern w:val="0"/>
        </w:rPr>
        <w:t>12</w:t>
      </w:r>
    </w:p>
    <w:p>
      <w:pPr>
        <w:tabs>
          <w:tab w:val="left" w:leader="middleDot" w:pos="8480"/>
        </w:tabs>
        <w:snapToGrid w:val="0"/>
        <w:spacing w:line="640" w:lineRule="exact"/>
        <w:rPr>
          <w:bCs/>
          <w:snapToGrid w:val="0"/>
          <w:spacing w:val="0"/>
          <w:kern w:val="0"/>
        </w:rPr>
      </w:pPr>
      <w:r>
        <w:rPr>
          <w:bCs/>
          <w:snapToGrid w:val="0"/>
          <w:spacing w:val="0"/>
          <w:kern w:val="0"/>
        </w:rPr>
        <w:t>2 教育教学质量</w:t>
      </w:r>
      <w:r>
        <w:rPr>
          <w:rFonts w:hint="eastAsia"/>
          <w:bCs/>
          <w:snapToGrid w:val="0"/>
          <w:spacing w:val="0"/>
          <w:kern w:val="0"/>
        </w:rPr>
        <w:tab/>
      </w:r>
      <w:r>
        <w:rPr>
          <w:rFonts w:hint="eastAsia"/>
          <w:bCs/>
          <w:snapToGrid w:val="0"/>
          <w:spacing w:val="0"/>
          <w:kern w:val="0"/>
        </w:rPr>
        <w:t>12</w:t>
      </w:r>
    </w:p>
    <w:p>
      <w:pPr>
        <w:tabs>
          <w:tab w:val="left" w:leader="middleDot" w:pos="8480"/>
        </w:tabs>
        <w:snapToGrid w:val="0"/>
        <w:spacing w:line="640" w:lineRule="exact"/>
        <w:rPr>
          <w:snapToGrid w:val="0"/>
          <w:spacing w:val="0"/>
          <w:kern w:val="0"/>
        </w:rPr>
      </w:pPr>
      <w:r>
        <w:rPr>
          <w:snapToGrid w:val="0"/>
          <w:spacing w:val="0"/>
          <w:kern w:val="0"/>
        </w:rPr>
        <w:t>2.1专业建设质量</w:t>
      </w:r>
      <w:r>
        <w:rPr>
          <w:rFonts w:hint="eastAsia"/>
          <w:snapToGrid w:val="0"/>
          <w:spacing w:val="0"/>
          <w:kern w:val="0"/>
        </w:rPr>
        <w:tab/>
      </w:r>
      <w:r>
        <w:rPr>
          <w:rFonts w:hint="eastAsia"/>
          <w:snapToGrid w:val="0"/>
          <w:spacing w:val="0"/>
          <w:kern w:val="0"/>
        </w:rPr>
        <w:t>12</w:t>
      </w:r>
    </w:p>
    <w:p>
      <w:pPr>
        <w:tabs>
          <w:tab w:val="left" w:leader="middleDot" w:pos="8480"/>
        </w:tabs>
        <w:snapToGrid w:val="0"/>
        <w:spacing w:line="640" w:lineRule="exact"/>
        <w:rPr>
          <w:snapToGrid w:val="0"/>
          <w:spacing w:val="0"/>
          <w:kern w:val="0"/>
        </w:rPr>
      </w:pPr>
      <w:r>
        <w:rPr>
          <w:snapToGrid w:val="0"/>
          <w:spacing w:val="0"/>
          <w:kern w:val="0"/>
        </w:rPr>
        <w:t>2.2课程建设质量</w:t>
      </w:r>
      <w:r>
        <w:rPr>
          <w:rFonts w:hint="eastAsia"/>
          <w:snapToGrid w:val="0"/>
          <w:spacing w:val="0"/>
          <w:kern w:val="0"/>
        </w:rPr>
        <w:tab/>
      </w:r>
      <w:r>
        <w:rPr>
          <w:rFonts w:hint="eastAsia"/>
          <w:snapToGrid w:val="0"/>
          <w:spacing w:val="0"/>
          <w:kern w:val="0"/>
        </w:rPr>
        <w:t>12</w:t>
      </w:r>
    </w:p>
    <w:p>
      <w:pPr>
        <w:tabs>
          <w:tab w:val="left" w:leader="middleDot" w:pos="8480"/>
        </w:tabs>
        <w:snapToGrid w:val="0"/>
        <w:spacing w:line="640" w:lineRule="exact"/>
        <w:rPr>
          <w:snapToGrid w:val="0"/>
          <w:spacing w:val="0"/>
          <w:kern w:val="0"/>
        </w:rPr>
      </w:pPr>
      <w:r>
        <w:rPr>
          <w:snapToGrid w:val="0"/>
          <w:spacing w:val="0"/>
          <w:kern w:val="0"/>
        </w:rPr>
        <w:t>2.3教学方法改革</w:t>
      </w:r>
      <w:r>
        <w:rPr>
          <w:rFonts w:hint="eastAsia"/>
          <w:snapToGrid w:val="0"/>
          <w:spacing w:val="0"/>
          <w:kern w:val="0"/>
        </w:rPr>
        <w:tab/>
      </w:r>
      <w:r>
        <w:rPr>
          <w:rFonts w:hint="eastAsia"/>
          <w:snapToGrid w:val="0"/>
          <w:spacing w:val="0"/>
          <w:kern w:val="0"/>
        </w:rPr>
        <w:t>13</w:t>
      </w:r>
    </w:p>
    <w:p>
      <w:pPr>
        <w:tabs>
          <w:tab w:val="left" w:leader="middleDot" w:pos="8480"/>
        </w:tabs>
        <w:snapToGrid w:val="0"/>
        <w:spacing w:line="640" w:lineRule="exact"/>
        <w:rPr>
          <w:snapToGrid w:val="0"/>
          <w:spacing w:val="0"/>
          <w:kern w:val="0"/>
        </w:rPr>
      </w:pPr>
      <w:r>
        <w:rPr>
          <w:snapToGrid w:val="0"/>
          <w:spacing w:val="0"/>
          <w:kern w:val="0"/>
        </w:rPr>
        <w:t>2.4教材建设质量</w:t>
      </w:r>
      <w:r>
        <w:rPr>
          <w:rFonts w:hint="eastAsia"/>
          <w:snapToGrid w:val="0"/>
          <w:spacing w:val="0"/>
          <w:kern w:val="0"/>
        </w:rPr>
        <w:tab/>
      </w:r>
      <w:r>
        <w:rPr>
          <w:rFonts w:hint="eastAsia"/>
          <w:snapToGrid w:val="0"/>
          <w:spacing w:val="0"/>
          <w:kern w:val="0"/>
        </w:rPr>
        <w:t>13</w:t>
      </w:r>
    </w:p>
    <w:p>
      <w:pPr>
        <w:tabs>
          <w:tab w:val="left" w:leader="middleDot" w:pos="8480"/>
        </w:tabs>
        <w:snapToGrid w:val="0"/>
        <w:spacing w:line="640" w:lineRule="exact"/>
        <w:rPr>
          <w:snapToGrid w:val="0"/>
          <w:spacing w:val="0"/>
          <w:kern w:val="0"/>
        </w:rPr>
      </w:pPr>
      <w:r>
        <w:rPr>
          <w:snapToGrid w:val="0"/>
          <w:spacing w:val="0"/>
          <w:kern w:val="0"/>
        </w:rPr>
        <w:t>2.5数字化教学资源建设</w:t>
      </w:r>
      <w:r>
        <w:rPr>
          <w:rFonts w:hint="eastAsia"/>
          <w:snapToGrid w:val="0"/>
          <w:spacing w:val="0"/>
          <w:kern w:val="0"/>
        </w:rPr>
        <w:tab/>
      </w:r>
      <w:r>
        <w:rPr>
          <w:rFonts w:hint="eastAsia"/>
          <w:snapToGrid w:val="0"/>
          <w:spacing w:val="0"/>
          <w:kern w:val="0"/>
        </w:rPr>
        <w:t>14</w:t>
      </w:r>
    </w:p>
    <w:p>
      <w:pPr>
        <w:tabs>
          <w:tab w:val="left" w:leader="middleDot" w:pos="8480"/>
        </w:tabs>
        <w:snapToGrid w:val="0"/>
        <w:spacing w:line="640" w:lineRule="exact"/>
        <w:rPr>
          <w:snapToGrid w:val="0"/>
          <w:spacing w:val="0"/>
          <w:kern w:val="0"/>
        </w:rPr>
      </w:pPr>
      <w:r>
        <w:rPr>
          <w:snapToGrid w:val="0"/>
          <w:spacing w:val="0"/>
          <w:kern w:val="0"/>
        </w:rPr>
        <w:t>2.6师资队伍建设</w:t>
      </w:r>
      <w:r>
        <w:rPr>
          <w:rFonts w:hint="eastAsia"/>
          <w:snapToGrid w:val="0"/>
          <w:spacing w:val="0"/>
          <w:kern w:val="0"/>
        </w:rPr>
        <w:tab/>
      </w:r>
      <w:r>
        <w:rPr>
          <w:rFonts w:hint="eastAsia"/>
          <w:snapToGrid w:val="0"/>
          <w:spacing w:val="0"/>
          <w:kern w:val="0"/>
        </w:rPr>
        <w:t>14</w:t>
      </w:r>
    </w:p>
    <w:p>
      <w:pPr>
        <w:tabs>
          <w:tab w:val="left" w:leader="middleDot" w:pos="8480"/>
        </w:tabs>
        <w:snapToGrid w:val="0"/>
        <w:spacing w:line="640" w:lineRule="exact"/>
        <w:rPr>
          <w:snapToGrid w:val="0"/>
          <w:spacing w:val="0"/>
          <w:kern w:val="0"/>
        </w:rPr>
      </w:pPr>
      <w:r>
        <w:rPr>
          <w:snapToGrid w:val="0"/>
          <w:spacing w:val="0"/>
          <w:kern w:val="0"/>
        </w:rPr>
        <w:t>2.7校企双元育人</w:t>
      </w:r>
      <w:r>
        <w:rPr>
          <w:rFonts w:hint="eastAsia"/>
          <w:snapToGrid w:val="0"/>
          <w:spacing w:val="0"/>
          <w:kern w:val="0"/>
        </w:rPr>
        <w:tab/>
      </w:r>
      <w:r>
        <w:rPr>
          <w:rFonts w:hint="eastAsia"/>
          <w:snapToGrid w:val="0"/>
          <w:spacing w:val="0"/>
          <w:kern w:val="0"/>
        </w:rPr>
        <w:t>16</w:t>
      </w:r>
    </w:p>
    <w:p>
      <w:pPr>
        <w:tabs>
          <w:tab w:val="left" w:leader="middleDot" w:pos="8480"/>
        </w:tabs>
        <w:snapToGrid w:val="0"/>
        <w:spacing w:line="640" w:lineRule="exact"/>
        <w:rPr>
          <w:bCs/>
          <w:snapToGrid w:val="0"/>
          <w:spacing w:val="0"/>
          <w:kern w:val="0"/>
        </w:rPr>
      </w:pPr>
      <w:r>
        <w:rPr>
          <w:bCs/>
          <w:snapToGrid w:val="0"/>
          <w:spacing w:val="0"/>
          <w:kern w:val="0"/>
        </w:rPr>
        <w:t>3 国际合作质量</w:t>
      </w:r>
      <w:r>
        <w:rPr>
          <w:rFonts w:hint="eastAsia"/>
          <w:bCs/>
          <w:snapToGrid w:val="0"/>
          <w:spacing w:val="0"/>
          <w:kern w:val="0"/>
        </w:rPr>
        <w:tab/>
      </w:r>
      <w:r>
        <w:rPr>
          <w:rFonts w:hint="eastAsia"/>
          <w:bCs/>
          <w:snapToGrid w:val="0"/>
          <w:spacing w:val="0"/>
          <w:kern w:val="0"/>
        </w:rPr>
        <w:t>16</w:t>
      </w:r>
    </w:p>
    <w:p>
      <w:pPr>
        <w:tabs>
          <w:tab w:val="left" w:leader="middleDot" w:pos="8480"/>
        </w:tabs>
        <w:snapToGrid w:val="0"/>
        <w:spacing w:line="640" w:lineRule="exact"/>
        <w:rPr>
          <w:bCs/>
          <w:snapToGrid w:val="0"/>
          <w:spacing w:val="0"/>
          <w:kern w:val="0"/>
        </w:rPr>
      </w:pPr>
      <w:r>
        <w:rPr>
          <w:bCs/>
          <w:snapToGrid w:val="0"/>
          <w:spacing w:val="0"/>
          <w:kern w:val="0"/>
        </w:rPr>
        <w:t>4 服务贡献质量</w:t>
      </w:r>
      <w:r>
        <w:rPr>
          <w:rFonts w:hint="eastAsia"/>
          <w:bCs/>
          <w:snapToGrid w:val="0"/>
          <w:spacing w:val="0"/>
          <w:kern w:val="0"/>
        </w:rPr>
        <w:tab/>
      </w:r>
      <w:r>
        <w:rPr>
          <w:rFonts w:hint="eastAsia"/>
          <w:bCs/>
          <w:snapToGrid w:val="0"/>
          <w:spacing w:val="0"/>
          <w:kern w:val="0"/>
        </w:rPr>
        <w:t>16</w:t>
      </w:r>
    </w:p>
    <w:p>
      <w:pPr>
        <w:tabs>
          <w:tab w:val="left" w:leader="middleDot" w:pos="8480"/>
        </w:tabs>
        <w:snapToGrid w:val="0"/>
        <w:spacing w:line="640" w:lineRule="exact"/>
        <w:rPr>
          <w:snapToGrid w:val="0"/>
          <w:spacing w:val="0"/>
          <w:kern w:val="0"/>
        </w:rPr>
      </w:pPr>
      <w:r>
        <w:rPr>
          <w:snapToGrid w:val="0"/>
          <w:spacing w:val="0"/>
          <w:kern w:val="0"/>
        </w:rPr>
        <w:t>4.1服务行业企业</w:t>
      </w:r>
      <w:r>
        <w:rPr>
          <w:rFonts w:hint="eastAsia"/>
          <w:snapToGrid w:val="0"/>
          <w:spacing w:val="0"/>
          <w:kern w:val="0"/>
        </w:rPr>
        <w:tab/>
      </w:r>
      <w:r>
        <w:rPr>
          <w:rFonts w:hint="eastAsia"/>
          <w:snapToGrid w:val="0"/>
          <w:spacing w:val="0"/>
          <w:kern w:val="0"/>
        </w:rPr>
        <w:t>16</w:t>
      </w:r>
    </w:p>
    <w:p>
      <w:pPr>
        <w:tabs>
          <w:tab w:val="left" w:leader="middleDot" w:pos="8480"/>
        </w:tabs>
        <w:snapToGrid w:val="0"/>
        <w:spacing w:line="640" w:lineRule="exact"/>
        <w:rPr>
          <w:snapToGrid w:val="0"/>
          <w:spacing w:val="0"/>
          <w:kern w:val="0"/>
        </w:rPr>
      </w:pPr>
      <w:r>
        <w:rPr>
          <w:snapToGrid w:val="0"/>
          <w:spacing w:val="0"/>
          <w:kern w:val="0"/>
        </w:rPr>
        <w:t>4.2服务地方发展</w:t>
      </w:r>
      <w:r>
        <w:rPr>
          <w:rFonts w:hint="eastAsia"/>
          <w:snapToGrid w:val="0"/>
          <w:spacing w:val="0"/>
          <w:kern w:val="0"/>
        </w:rPr>
        <w:tab/>
      </w:r>
      <w:r>
        <w:rPr>
          <w:rFonts w:hint="eastAsia"/>
          <w:snapToGrid w:val="0"/>
          <w:spacing w:val="0"/>
          <w:kern w:val="0"/>
        </w:rPr>
        <w:t>16</w:t>
      </w:r>
    </w:p>
    <w:p>
      <w:pPr>
        <w:tabs>
          <w:tab w:val="left" w:leader="middleDot" w:pos="8480"/>
        </w:tabs>
        <w:snapToGrid w:val="0"/>
        <w:spacing w:line="640" w:lineRule="exact"/>
        <w:rPr>
          <w:snapToGrid w:val="0"/>
          <w:spacing w:val="0"/>
          <w:kern w:val="0"/>
        </w:rPr>
      </w:pPr>
      <w:r>
        <w:rPr>
          <w:snapToGrid w:val="0"/>
          <w:spacing w:val="0"/>
          <w:kern w:val="0"/>
        </w:rPr>
        <w:t>4.3服务乡村振兴</w:t>
      </w:r>
      <w:r>
        <w:rPr>
          <w:rFonts w:hint="eastAsia"/>
          <w:snapToGrid w:val="0"/>
          <w:spacing w:val="0"/>
          <w:kern w:val="0"/>
        </w:rPr>
        <w:tab/>
      </w:r>
      <w:r>
        <w:rPr>
          <w:rFonts w:hint="eastAsia"/>
          <w:snapToGrid w:val="0"/>
          <w:spacing w:val="0"/>
          <w:kern w:val="0"/>
        </w:rPr>
        <w:t>16</w:t>
      </w:r>
    </w:p>
    <w:p>
      <w:pPr>
        <w:tabs>
          <w:tab w:val="left" w:leader="middleDot" w:pos="8480"/>
        </w:tabs>
        <w:snapToGrid w:val="0"/>
        <w:spacing w:line="640" w:lineRule="exact"/>
        <w:rPr>
          <w:snapToGrid w:val="0"/>
          <w:spacing w:val="0"/>
          <w:kern w:val="0"/>
        </w:rPr>
      </w:pPr>
      <w:r>
        <w:rPr>
          <w:snapToGrid w:val="0"/>
          <w:spacing w:val="0"/>
          <w:kern w:val="0"/>
        </w:rPr>
        <w:t>4.4服务地方社区</w:t>
      </w:r>
      <w:r>
        <w:rPr>
          <w:rFonts w:hint="eastAsia"/>
          <w:snapToGrid w:val="0"/>
          <w:spacing w:val="0"/>
          <w:kern w:val="0"/>
        </w:rPr>
        <w:tab/>
      </w:r>
      <w:r>
        <w:rPr>
          <w:rFonts w:hint="eastAsia"/>
          <w:snapToGrid w:val="0"/>
          <w:spacing w:val="0"/>
          <w:kern w:val="0"/>
        </w:rPr>
        <w:t>17</w:t>
      </w:r>
    </w:p>
    <w:p>
      <w:pPr>
        <w:tabs>
          <w:tab w:val="left" w:leader="middleDot" w:pos="8480"/>
        </w:tabs>
        <w:snapToGrid w:val="0"/>
        <w:spacing w:line="640" w:lineRule="exact"/>
        <w:rPr>
          <w:bCs/>
          <w:snapToGrid w:val="0"/>
          <w:spacing w:val="0"/>
          <w:kern w:val="0"/>
        </w:rPr>
      </w:pPr>
      <w:r>
        <w:rPr>
          <w:bCs/>
          <w:snapToGrid w:val="0"/>
          <w:spacing w:val="0"/>
          <w:kern w:val="0"/>
        </w:rPr>
        <w:t>5 政策落实质量</w:t>
      </w:r>
      <w:r>
        <w:rPr>
          <w:rFonts w:hint="eastAsia"/>
          <w:bCs/>
          <w:snapToGrid w:val="0"/>
          <w:spacing w:val="0"/>
          <w:kern w:val="0"/>
        </w:rPr>
        <w:tab/>
      </w:r>
      <w:r>
        <w:rPr>
          <w:rFonts w:hint="eastAsia"/>
          <w:bCs/>
          <w:snapToGrid w:val="0"/>
          <w:spacing w:val="0"/>
          <w:kern w:val="0"/>
        </w:rPr>
        <w:t>17</w:t>
      </w:r>
    </w:p>
    <w:p>
      <w:pPr>
        <w:tabs>
          <w:tab w:val="left" w:leader="middleDot" w:pos="8480"/>
        </w:tabs>
        <w:snapToGrid w:val="0"/>
        <w:spacing w:line="640" w:lineRule="exact"/>
        <w:rPr>
          <w:snapToGrid w:val="0"/>
          <w:spacing w:val="0"/>
          <w:kern w:val="0"/>
        </w:rPr>
      </w:pPr>
      <w:r>
        <w:rPr>
          <w:snapToGrid w:val="0"/>
          <w:spacing w:val="0"/>
          <w:kern w:val="0"/>
        </w:rPr>
        <w:t>5.1国家政策落实</w:t>
      </w:r>
      <w:r>
        <w:rPr>
          <w:rFonts w:hint="eastAsia"/>
          <w:snapToGrid w:val="0"/>
          <w:spacing w:val="0"/>
          <w:kern w:val="0"/>
        </w:rPr>
        <w:tab/>
      </w:r>
      <w:r>
        <w:rPr>
          <w:rFonts w:hint="eastAsia"/>
          <w:snapToGrid w:val="0"/>
          <w:spacing w:val="0"/>
          <w:kern w:val="0"/>
        </w:rPr>
        <w:t>17</w:t>
      </w:r>
    </w:p>
    <w:p>
      <w:pPr>
        <w:tabs>
          <w:tab w:val="left" w:leader="middleDot" w:pos="8480"/>
        </w:tabs>
        <w:snapToGrid w:val="0"/>
        <w:spacing w:line="640" w:lineRule="exact"/>
        <w:rPr>
          <w:snapToGrid w:val="0"/>
          <w:spacing w:val="0"/>
          <w:kern w:val="0"/>
        </w:rPr>
      </w:pPr>
      <w:r>
        <w:rPr>
          <w:snapToGrid w:val="0"/>
          <w:spacing w:val="0"/>
          <w:kern w:val="0"/>
        </w:rPr>
        <w:t>5.2地方政策落实</w:t>
      </w:r>
      <w:r>
        <w:rPr>
          <w:rFonts w:hint="eastAsia"/>
          <w:snapToGrid w:val="0"/>
          <w:spacing w:val="0"/>
          <w:kern w:val="0"/>
        </w:rPr>
        <w:tab/>
      </w:r>
      <w:r>
        <w:rPr>
          <w:rFonts w:hint="eastAsia"/>
          <w:snapToGrid w:val="0"/>
          <w:spacing w:val="0"/>
          <w:kern w:val="0"/>
        </w:rPr>
        <w:t>18</w:t>
      </w:r>
    </w:p>
    <w:p>
      <w:pPr>
        <w:tabs>
          <w:tab w:val="left" w:leader="middleDot" w:pos="8480"/>
        </w:tabs>
        <w:snapToGrid w:val="0"/>
        <w:spacing w:line="640" w:lineRule="exact"/>
        <w:rPr>
          <w:snapToGrid w:val="0"/>
          <w:spacing w:val="0"/>
          <w:kern w:val="0"/>
        </w:rPr>
      </w:pPr>
      <w:r>
        <w:rPr>
          <w:snapToGrid w:val="0"/>
          <w:spacing w:val="0"/>
          <w:kern w:val="0"/>
        </w:rPr>
        <w:t>5.3学校治理</w:t>
      </w:r>
      <w:r>
        <w:rPr>
          <w:rFonts w:hint="eastAsia"/>
          <w:snapToGrid w:val="0"/>
          <w:spacing w:val="0"/>
          <w:kern w:val="0"/>
        </w:rPr>
        <w:tab/>
      </w:r>
      <w:r>
        <w:rPr>
          <w:rFonts w:hint="eastAsia"/>
          <w:snapToGrid w:val="0"/>
          <w:spacing w:val="0"/>
          <w:kern w:val="0"/>
        </w:rPr>
        <w:t>18</w:t>
      </w:r>
    </w:p>
    <w:p>
      <w:pPr>
        <w:tabs>
          <w:tab w:val="left" w:leader="middleDot" w:pos="8480"/>
        </w:tabs>
        <w:snapToGrid w:val="0"/>
        <w:spacing w:line="640" w:lineRule="exact"/>
        <w:rPr>
          <w:snapToGrid w:val="0"/>
          <w:spacing w:val="0"/>
          <w:kern w:val="0"/>
        </w:rPr>
      </w:pPr>
      <w:r>
        <w:rPr>
          <w:snapToGrid w:val="0"/>
          <w:spacing w:val="0"/>
          <w:kern w:val="0"/>
        </w:rPr>
        <w:t>5.4质量保证体系建设</w:t>
      </w:r>
      <w:r>
        <w:rPr>
          <w:rFonts w:hint="eastAsia"/>
          <w:snapToGrid w:val="0"/>
          <w:spacing w:val="0"/>
          <w:kern w:val="0"/>
        </w:rPr>
        <w:tab/>
      </w:r>
      <w:r>
        <w:rPr>
          <w:rFonts w:hint="eastAsia"/>
          <w:snapToGrid w:val="0"/>
          <w:spacing w:val="0"/>
          <w:kern w:val="0"/>
        </w:rPr>
        <w:t>19</w:t>
      </w:r>
    </w:p>
    <w:p>
      <w:pPr>
        <w:tabs>
          <w:tab w:val="left" w:leader="middleDot" w:pos="8480"/>
        </w:tabs>
        <w:snapToGrid w:val="0"/>
        <w:spacing w:line="640" w:lineRule="exact"/>
        <w:rPr>
          <w:snapToGrid w:val="0"/>
          <w:spacing w:val="0"/>
          <w:kern w:val="0"/>
        </w:rPr>
      </w:pPr>
      <w:r>
        <w:rPr>
          <w:snapToGrid w:val="0"/>
          <w:spacing w:val="0"/>
          <w:kern w:val="0"/>
        </w:rPr>
        <w:t>5.5经费投入</w:t>
      </w:r>
      <w:r>
        <w:rPr>
          <w:rFonts w:hint="eastAsia"/>
          <w:snapToGrid w:val="0"/>
          <w:spacing w:val="0"/>
          <w:kern w:val="0"/>
        </w:rPr>
        <w:tab/>
      </w:r>
      <w:r>
        <w:rPr>
          <w:rFonts w:hint="eastAsia"/>
          <w:snapToGrid w:val="0"/>
          <w:spacing w:val="0"/>
          <w:kern w:val="0"/>
        </w:rPr>
        <w:t>23</w:t>
      </w:r>
    </w:p>
    <w:p>
      <w:pPr>
        <w:tabs>
          <w:tab w:val="left" w:leader="middleDot" w:pos="8480"/>
        </w:tabs>
        <w:snapToGrid w:val="0"/>
        <w:spacing w:line="640" w:lineRule="exact"/>
        <w:rPr>
          <w:bCs/>
          <w:snapToGrid w:val="0"/>
          <w:spacing w:val="0"/>
          <w:kern w:val="0"/>
        </w:rPr>
      </w:pPr>
      <w:r>
        <w:rPr>
          <w:bCs/>
          <w:snapToGrid w:val="0"/>
          <w:spacing w:val="0"/>
          <w:kern w:val="0"/>
        </w:rPr>
        <w:t>6 面临挑战</w:t>
      </w:r>
      <w:r>
        <w:rPr>
          <w:rFonts w:hint="eastAsia"/>
          <w:bCs/>
          <w:snapToGrid w:val="0"/>
          <w:spacing w:val="0"/>
          <w:kern w:val="0"/>
        </w:rPr>
        <w:tab/>
      </w:r>
      <w:r>
        <w:rPr>
          <w:rFonts w:hint="eastAsia"/>
          <w:bCs/>
          <w:snapToGrid w:val="0"/>
          <w:spacing w:val="0"/>
          <w:kern w:val="0"/>
        </w:rPr>
        <w:t>23</w:t>
      </w:r>
    </w:p>
    <w:p>
      <w:pPr>
        <w:tabs>
          <w:tab w:val="left" w:leader="middleDot" w:pos="8480"/>
        </w:tabs>
        <w:snapToGrid w:val="0"/>
        <w:spacing w:line="640" w:lineRule="exact"/>
        <w:rPr>
          <w:snapToGrid w:val="0"/>
          <w:spacing w:val="0"/>
          <w:kern w:val="0"/>
        </w:rPr>
      </w:pPr>
      <w:r>
        <w:rPr>
          <w:snapToGrid w:val="0"/>
          <w:spacing w:val="0"/>
          <w:kern w:val="0"/>
        </w:rPr>
        <w:t>挑战1</w:t>
      </w:r>
      <w:r>
        <w:rPr>
          <w:rFonts w:hint="eastAsia"/>
          <w:snapToGrid w:val="0"/>
          <w:spacing w:val="0"/>
          <w:kern w:val="0"/>
        </w:rPr>
        <w:t>：</w:t>
      </w:r>
      <w:r>
        <w:rPr>
          <w:rFonts w:hint="eastAsia"/>
          <w:snapToGrid w:val="0"/>
          <w:spacing w:val="0"/>
          <w:kern w:val="0"/>
        </w:rPr>
        <w:tab/>
      </w:r>
      <w:r>
        <w:rPr>
          <w:rFonts w:hint="eastAsia"/>
          <w:snapToGrid w:val="0"/>
          <w:spacing w:val="0"/>
          <w:kern w:val="0"/>
        </w:rPr>
        <w:t>24</w:t>
      </w:r>
    </w:p>
    <w:p>
      <w:pPr>
        <w:tabs>
          <w:tab w:val="left" w:leader="middleDot" w:pos="8480"/>
        </w:tabs>
        <w:snapToGrid w:val="0"/>
        <w:spacing w:line="640" w:lineRule="exact"/>
        <w:rPr>
          <w:snapToGrid w:val="0"/>
          <w:spacing w:val="0"/>
          <w:kern w:val="0"/>
        </w:rPr>
      </w:pPr>
      <w:r>
        <w:rPr>
          <w:snapToGrid w:val="0"/>
          <w:spacing w:val="0"/>
          <w:kern w:val="0"/>
        </w:rPr>
        <w:t>挑战2：</w:t>
      </w:r>
      <w:r>
        <w:rPr>
          <w:rFonts w:hint="eastAsia"/>
          <w:snapToGrid w:val="0"/>
          <w:spacing w:val="0"/>
          <w:kern w:val="0"/>
        </w:rPr>
        <w:tab/>
      </w:r>
      <w:r>
        <w:rPr>
          <w:rFonts w:hint="eastAsia"/>
          <w:snapToGrid w:val="0"/>
          <w:spacing w:val="0"/>
          <w:kern w:val="0"/>
        </w:rPr>
        <w:t>24</w:t>
      </w:r>
    </w:p>
    <w:p>
      <w:pPr>
        <w:jc w:val="center"/>
        <w:rPr>
          <w:rFonts w:hint="eastAsia" w:ascii="仿宋_GB2312" w:hAnsi="微软雅黑"/>
          <w:color w:val="000000"/>
          <w:sz w:val="44"/>
          <w:szCs w:val="44"/>
          <w:shd w:val="clear" w:color="auto" w:fill="FFFFFF"/>
        </w:rPr>
      </w:pPr>
    </w:p>
    <w:p>
      <w:pPr>
        <w:jc w:val="center"/>
        <w:rPr>
          <w:rFonts w:hint="eastAsia" w:ascii="仿宋_GB2312" w:hAnsi="微软雅黑"/>
          <w:color w:val="000000"/>
          <w:sz w:val="44"/>
          <w:szCs w:val="44"/>
          <w:shd w:val="clear" w:color="auto" w:fill="FFFFFF"/>
        </w:rPr>
      </w:pPr>
    </w:p>
    <w:p>
      <w:pPr>
        <w:jc w:val="center"/>
        <w:rPr>
          <w:rFonts w:hint="eastAsia" w:ascii="仿宋_GB2312" w:hAnsi="微软雅黑"/>
          <w:color w:val="000000"/>
          <w:sz w:val="44"/>
          <w:szCs w:val="44"/>
          <w:shd w:val="clear" w:color="auto" w:fill="FFFFFF"/>
        </w:rPr>
      </w:pPr>
    </w:p>
    <w:p>
      <w:pPr>
        <w:jc w:val="center"/>
        <w:rPr>
          <w:rFonts w:hint="eastAsia" w:ascii="仿宋_GB2312" w:hAnsi="微软雅黑"/>
          <w:color w:val="000000"/>
          <w:sz w:val="44"/>
          <w:szCs w:val="44"/>
          <w:shd w:val="clear" w:color="auto" w:fill="FFFFFF"/>
        </w:rPr>
      </w:pPr>
    </w:p>
    <w:p>
      <w:pPr>
        <w:jc w:val="center"/>
        <w:rPr>
          <w:rFonts w:hint="eastAsia" w:ascii="仿宋_GB2312" w:hAnsi="微软雅黑"/>
          <w:color w:val="000000"/>
          <w:sz w:val="44"/>
          <w:szCs w:val="44"/>
          <w:shd w:val="clear" w:color="auto" w:fill="FFFFFF"/>
        </w:rPr>
      </w:pPr>
    </w:p>
    <w:p>
      <w:pPr>
        <w:rPr>
          <w:rFonts w:hint="eastAsia"/>
        </w:rPr>
      </w:pPr>
    </w:p>
    <w:p>
      <w:pPr>
        <w:snapToGrid w:val="0"/>
        <w:spacing w:line="640" w:lineRule="exact"/>
        <w:jc w:val="center"/>
        <w:rPr>
          <w:rFonts w:ascii="黑体" w:hAnsi="黑体" w:eastAsia="黑体"/>
          <w:color w:val="000000"/>
          <w:sz w:val="44"/>
          <w:szCs w:val="44"/>
          <w:shd w:val="clear" w:color="auto" w:fill="FFFFFF"/>
        </w:rPr>
      </w:pPr>
      <w:r>
        <w:rPr>
          <w:rFonts w:hint="eastAsia" w:ascii="黑体" w:hAnsi="黑体" w:eastAsia="黑体"/>
          <w:color w:val="000000"/>
          <w:sz w:val="44"/>
          <w:szCs w:val="44"/>
          <w:shd w:val="clear" w:color="auto" w:fill="FFFFFF"/>
        </w:rPr>
        <w:t>前      言</w:t>
      </w:r>
    </w:p>
    <w:p>
      <w:pPr>
        <w:snapToGrid w:val="0"/>
        <w:spacing w:line="640" w:lineRule="exact"/>
        <w:ind w:firstLine="474" w:firstLineChars="150"/>
        <w:rPr>
          <w:rFonts w:hint="eastAsia" w:ascii="仿宋_GB2312"/>
        </w:rPr>
      </w:pPr>
      <w:r>
        <w:rPr>
          <w:rFonts w:hint="eastAsia" w:ascii="仿宋_GB2312" w:hAnsi="微软雅黑"/>
          <w:color w:val="000000"/>
          <w:shd w:val="clear" w:color="auto" w:fill="FFFFFF"/>
        </w:rPr>
        <w:t>2021——2022学年，渭南西北新世纪职业中等专业学校学校深入学习贯彻党的十九大精神和习近平新时代中国特色社会主义思想，贯彻新时代党的教育方针，紧紧围绕国家大力发展职业教育的政策，在积极深化人才培养模式改革，强内涵，树形象，创特色，坚持“以服务为宗旨，以就业为导向，以规模促效益、以质量求发展”的办学思路，在教育教学管理、人才培养、技能培训等方面均取得一定的业绩，促进了学校高质量发展。根据渭南市教育局《关于做好2023年中等职业教育质量年度报告编制、发布和报送工作的通知》（渭教职成 [2022]47号)文件要求，学校召开专门会议，认真梳理本年度学校教育质量发展、提升情况，成立工作专班系统总结、全面展现学生发展、教育改革、服务贡献、政策保障、面临挑战等方面工作。现将学校质量年度（2023）报告如下。</w:t>
      </w:r>
    </w:p>
    <w:p>
      <w:pPr>
        <w:snapToGrid w:val="0"/>
        <w:spacing w:line="640" w:lineRule="exact"/>
        <w:rPr>
          <w:rFonts w:hint="eastAsia" w:ascii="仿宋_GB2312"/>
          <w:b/>
          <w:bCs/>
          <w:snapToGrid w:val="0"/>
          <w:spacing w:val="0"/>
          <w:kern w:val="0"/>
        </w:rPr>
      </w:pPr>
      <w:r>
        <w:rPr>
          <w:rFonts w:hint="eastAsia" w:ascii="仿宋_GB2312"/>
          <w:b/>
          <w:bCs/>
          <w:snapToGrid w:val="0"/>
          <w:spacing w:val="0"/>
          <w:kern w:val="0"/>
        </w:rPr>
        <w:t>1 学生发展质量</w:t>
      </w:r>
    </w:p>
    <w:p>
      <w:pPr>
        <w:snapToGrid w:val="0"/>
        <w:spacing w:line="640" w:lineRule="exact"/>
        <w:rPr>
          <w:rFonts w:hint="eastAsia" w:ascii="仿宋_GB2312"/>
          <w:b/>
          <w:snapToGrid w:val="0"/>
          <w:spacing w:val="0"/>
          <w:kern w:val="0"/>
        </w:rPr>
      </w:pPr>
      <w:r>
        <w:rPr>
          <w:rFonts w:hint="eastAsia" w:ascii="仿宋_GB2312"/>
          <w:b/>
          <w:snapToGrid w:val="0"/>
          <w:spacing w:val="0"/>
          <w:kern w:val="0"/>
        </w:rPr>
        <w:t>1.1党建引领</w:t>
      </w:r>
    </w:p>
    <w:p>
      <w:pPr>
        <w:snapToGrid w:val="0"/>
        <w:spacing w:line="640" w:lineRule="exact"/>
        <w:ind w:firstLine="632" w:firstLineChars="200"/>
        <w:rPr>
          <w:rFonts w:hint="eastAsia" w:ascii="仿宋_GB2312"/>
        </w:rPr>
      </w:pPr>
      <w:r>
        <w:rPr>
          <w:rFonts w:hint="eastAsia" w:ascii="仿宋_GB2312"/>
        </w:rPr>
        <w:t>学校党支部在华山教育集团党委的领导下</w:t>
      </w:r>
      <w:r>
        <w:rPr>
          <w:rFonts w:hint="eastAsia" w:ascii="仿宋_GB2312"/>
          <w:color w:val="333333"/>
          <w:shd w:val="clear" w:color="auto" w:fill="FFFFFF"/>
        </w:rPr>
        <w:t>充分发挥政治核心和战斗堡垒作用，全面贯彻党的教育方针，切实提高党组织的创造力、凝聚力和战斗力，</w:t>
      </w:r>
      <w:r>
        <w:rPr>
          <w:rFonts w:hint="eastAsia" w:ascii="仿宋_GB2312"/>
        </w:rPr>
        <w:t xml:space="preserve">坚持“三会一课”、“两学一做”，积极开展工作，起到党支部的领导堡垒作用，发挥出了党员先锋模范作用，体现出了党建引领在学校教育教学的方方面面。  </w:t>
      </w:r>
    </w:p>
    <w:p>
      <w:pPr>
        <w:snapToGrid w:val="0"/>
        <w:spacing w:line="640" w:lineRule="exact"/>
        <w:ind w:firstLine="632" w:firstLineChars="200"/>
        <w:rPr>
          <w:rFonts w:hint="eastAsia" w:ascii="仿宋_GB2312"/>
        </w:rPr>
      </w:pPr>
      <w:r>
        <w:rPr>
          <w:rFonts w:hint="eastAsia" w:ascii="仿宋_GB2312"/>
        </w:rPr>
        <w:t xml:space="preserve">党建工作是学校的首要工作、重头戏。我们进一步健全和加强了支部组织建设和职工队伍建设。近年来，我们积极组织教职员工深入开展各种学习实践活动，不断提高大家的思想政治水平和文化业务素质。增强班子、中层和党员干部的责任、大局、担当和服务意识，自觉接受师生员工监督，充分发挥集体智慧和团队精神。我们还注重加强班子、中层和党员干部的理论学习与社会实践，切实提高教职员工的岗位责任意识和法律法规意识。  </w:t>
      </w:r>
    </w:p>
    <w:p>
      <w:pPr>
        <w:snapToGrid w:val="0"/>
        <w:spacing w:line="640" w:lineRule="exact"/>
        <w:ind w:firstLine="474" w:firstLineChars="150"/>
        <w:rPr>
          <w:rFonts w:hint="eastAsia" w:ascii="仿宋_GB2312"/>
        </w:rPr>
      </w:pPr>
      <w:r>
        <w:rPr>
          <w:rFonts w:hint="eastAsia" w:ascii="仿宋_GB2312"/>
        </w:rPr>
        <w:t>我们认真学习，用习近平新时代中国特色社会主义思想武装头脑；抓好“三会一课”、主题党课、专题民主生活会、整改落实等关键环节，要求广大党员干部切实增强“两学一做”学习教育的制度化、规范化、常态化的思想自觉和行动自觉，深入学习党章和习近平系列重要讲话精神，要求广大党员干部深入教学一线，深入师生，了解民意，查找问题，服务师生。着力解决精神懈怠、信念缺失、不负责任、不敢担当，有令不行、有禁不止等问题；坚持党员民主评议制度，时刻使党员教师牢记党的宗旨，保持先进性。在各自的教育教学工作中发挥先锋模范带头作用；在师生中树立和扩大党员形象和影响力，从而保证学校教育教学工作的顺利进行；加强教师的政治理论学习，不断提高教师政治理论水平；教职工学习主要与校本培训和终身学习相结合，以提高教职工队伍整体素质为目标，以加强师德师风建设为重点，开展了爱事业、爱学校、爱学生等一系列思想政治教育和师德师风教育，如举行骨干教师示范课展示活动、青年教师校本培训等。</w:t>
      </w:r>
    </w:p>
    <w:p>
      <w:pPr>
        <w:snapToGrid w:val="0"/>
        <w:spacing w:line="640" w:lineRule="exact"/>
        <w:rPr>
          <w:rFonts w:hint="eastAsia" w:ascii="仿宋_GB2312"/>
          <w:b/>
          <w:snapToGrid w:val="0"/>
          <w:spacing w:val="0"/>
          <w:kern w:val="0"/>
        </w:rPr>
      </w:pPr>
      <w:r>
        <w:rPr>
          <w:rFonts w:hint="eastAsia" w:ascii="仿宋_GB2312"/>
          <w:b/>
          <w:snapToGrid w:val="0"/>
          <w:spacing w:val="0"/>
          <w:kern w:val="0"/>
        </w:rPr>
        <w:t>1.2立德树人</w:t>
      </w:r>
    </w:p>
    <w:p>
      <w:pPr>
        <w:snapToGrid w:val="0"/>
        <w:spacing w:line="640" w:lineRule="exact"/>
        <w:ind w:firstLine="632" w:firstLineChars="200"/>
        <w:rPr>
          <w:rFonts w:hint="eastAsia" w:ascii="仿宋_GB2312" w:hAnsi="仿宋_GB2312" w:cs="仿宋_GB2312"/>
        </w:rPr>
      </w:pPr>
      <w:r>
        <w:rPr>
          <w:rFonts w:hint="eastAsia" w:ascii="仿宋_GB2312" w:hAnsi="仿宋_GB2312" w:cs="仿宋_GB2312"/>
        </w:rPr>
        <w:t>学校贯彻新时代党的教育方针，落实“立德树人”根本任务。学校德育工作的宗旨是立德树人，核心是人的品格的形成，素养的提升和习惯的养成，德育工作的关键是落小、落细、落实、德育工作的成效在于如何最大限度的诱发学生良性心态。</w:t>
      </w:r>
    </w:p>
    <w:p>
      <w:pPr>
        <w:snapToGrid w:val="0"/>
        <w:spacing w:line="640" w:lineRule="exact"/>
        <w:ind w:firstLine="632" w:firstLineChars="200"/>
        <w:rPr>
          <w:rFonts w:hint="eastAsia" w:ascii="仿宋_GB2312" w:hAnsi="仿宋_GB2312" w:cs="仿宋_GB2312"/>
        </w:rPr>
      </w:pPr>
      <w:r>
        <w:rPr>
          <w:rFonts w:hint="eastAsia" w:ascii="仿宋_GB2312" w:hAnsi="仿宋_GB2312" w:cs="仿宋_GB2312"/>
        </w:rPr>
        <w:t>中职学生入学前大都因学业后进而经历了遭遇岐视的心路里程，本该阳光浪漫的年华却时常被浓重的自卑所取代，心理一直处于低谷期，中考落榜与普高失之交臂的痛苦犹如雪上加霜，基本于学生心理的这种分析，我们特别倡导“高看一眼”的学生观，即视每一位学生都是一块闪光的金子。成人成才是学生之所以选择我们的出发点，我们的责任是顺着学生这一良好的愿望，促使期在我们这里找回自信、唤醒自律，快乐成长。实践证明，有了这种学生观，我们便留住了学生，并能助其成人成才，因为在这里学生快乐并成长着。</w:t>
      </w:r>
    </w:p>
    <w:p>
      <w:pPr>
        <w:snapToGrid w:val="0"/>
        <w:spacing w:line="640" w:lineRule="exact"/>
        <w:ind w:firstLine="632" w:firstLineChars="200"/>
        <w:rPr>
          <w:rFonts w:hint="eastAsia" w:ascii="仿宋_GB2312" w:hAnsi="仿宋"/>
        </w:rPr>
      </w:pPr>
      <w:r>
        <w:rPr>
          <w:rFonts w:hint="eastAsia" w:ascii="仿宋_GB2312" w:hAnsi="仿宋"/>
        </w:rPr>
        <w:t>学校重视素质教育，把素质教育贯穿于教育教学工作的各个环节，制定有创新、有特色的素质教育行动方案。坚持以人为本，面向每一位学生，促进学生全面发展、特长发展，注重培养学生社会责任感、创新精神和实践能力，形成全方位的素质教育正确导向。</w:t>
      </w:r>
    </w:p>
    <w:p>
      <w:pPr>
        <w:snapToGrid w:val="0"/>
        <w:spacing w:line="640" w:lineRule="exact"/>
        <w:ind w:firstLine="632" w:firstLineChars="200"/>
        <w:rPr>
          <w:rFonts w:hint="eastAsia" w:ascii="仿宋_GB2312" w:hAnsi="仿宋"/>
          <w:color w:val="000000"/>
        </w:rPr>
      </w:pPr>
      <w:r>
        <w:rPr>
          <w:rFonts w:hint="eastAsia" w:ascii="仿宋_GB2312" w:hAnsi="仿宋"/>
          <w:color w:val="000000"/>
        </w:rPr>
        <w:t>构建了德育主任具体抓、班主任亲自抓、任课教师参与、学生配合的德育管理体系，健全德育组织机构和管理机制。领导班子每学期至少三次集体研究德育工作，明确领导分工，夯实责任，完善制度，修订计划，规范记录，认真总结。每学期由德育处制定德育工作计划、措施，学期底进行总结。组建了由德育主任、年级主任、班主任、法制副校长组成的德育工作队伍，班主任全面落实，推动学校德育工作上台阶。</w:t>
      </w:r>
    </w:p>
    <w:p>
      <w:pPr>
        <w:snapToGrid w:val="0"/>
        <w:spacing w:line="640" w:lineRule="exact"/>
        <w:ind w:firstLine="632" w:firstLineChars="200"/>
        <w:rPr>
          <w:rFonts w:hint="eastAsia" w:ascii="仿宋_GB2312" w:hAnsi="仿宋"/>
          <w:color w:val="000000"/>
        </w:rPr>
      </w:pPr>
      <w:r>
        <w:rPr>
          <w:rFonts w:hint="eastAsia" w:ascii="仿宋_GB2312" w:hAnsi="仿宋"/>
          <w:color w:val="000000"/>
        </w:rPr>
        <w:t xml:space="preserve">学校坚持以《中职学生守则》及《中职学生日常行为规范》为依据，加强学校常规德育工作，严格规范学生日常行为。深入开展爱国主义、集体主义和民族精神教育,经常性开展德育实践活动，开展优秀班级和优秀学生的评选活动。     </w:t>
      </w:r>
    </w:p>
    <w:p>
      <w:pPr>
        <w:snapToGrid w:val="0"/>
        <w:spacing w:line="640" w:lineRule="exact"/>
        <w:ind w:firstLine="632" w:firstLineChars="200"/>
        <w:rPr>
          <w:rFonts w:hint="eastAsia" w:ascii="仿宋_GB2312" w:hAnsi="仿宋"/>
          <w:color w:val="000000"/>
        </w:rPr>
      </w:pPr>
      <w:r>
        <w:rPr>
          <w:rFonts w:hint="eastAsia" w:ascii="仿宋_GB2312" w:hAnsi="仿宋"/>
          <w:color w:val="000000"/>
        </w:rPr>
        <w:t>创新德育工作方式，坚持以课堂为主阵地，以社团活动为载体，以养成教育为起点，以励志教育、感恩教育为突破口，以培养学生正确的人生观、价值观、就业观为重点，以提高学生综合素质和职业能力为目标，多措并举，多管齐下，坚持教书育人、管理育人、服务育人，寓德育于学校各项工作之中。</w:t>
      </w:r>
    </w:p>
    <w:p>
      <w:pPr>
        <w:snapToGrid w:val="0"/>
        <w:spacing w:line="640" w:lineRule="exact"/>
        <w:ind w:firstLine="632" w:firstLineChars="200"/>
        <w:rPr>
          <w:rFonts w:hint="eastAsia" w:ascii="仿宋_GB2312" w:hAnsi="仿宋"/>
          <w:color w:val="000000"/>
        </w:rPr>
      </w:pPr>
      <w:r>
        <w:rPr>
          <w:rFonts w:hint="eastAsia" w:ascii="仿宋_GB2312" w:hAnsi="仿宋"/>
          <w:color w:val="000000"/>
        </w:rPr>
        <w:t>学校每学期都对学生进行综合素质评价，及时将综合素质评价单反馈给家长，学校并以此作为对教师、班主任和学生考核的主要依据，树立标杆，表彰先进，激励后进，建立了科学完善的教师表彰奖励机制和惩处问责机制，带动全校教师追赶超越。学校坚持以学生为本，树立人人成才的理念，要求全体教师不得歧视差生，不得以学习困难等理由，责令学生停学、退学或随意开除学生。</w:t>
      </w:r>
    </w:p>
    <w:p>
      <w:pPr>
        <w:snapToGrid w:val="0"/>
        <w:spacing w:line="640" w:lineRule="exact"/>
        <w:ind w:firstLine="632" w:firstLineChars="200"/>
        <w:rPr>
          <w:rFonts w:hint="eastAsia" w:ascii="仿宋_GB2312" w:hAnsi="仿宋"/>
          <w:color w:val="000000"/>
        </w:rPr>
      </w:pPr>
      <w:r>
        <w:rPr>
          <w:rFonts w:hint="eastAsia" w:ascii="仿宋_GB2312" w:hAnsi="仿宋"/>
          <w:color w:val="000000"/>
        </w:rPr>
        <w:t>学校严格落实中小学生健康要求，制定实施体育课程、大课间活动和课外体育活动等体育运动方案，学校经常开展拔河比赛、篮球比赛、乒乓球比赛等学生体育活动，将体育作为学生综合素质考核与评价的重要内容，记录在学生的档案里。《国家学生体质健康标准》测试合格率达到89.8%以上。视力不良年度新发病率低于3%。每个学生都掌握了多体育运动技能。身体健康、心理健康、社会适应等领域达到《中职课程标准》要求。</w:t>
      </w:r>
    </w:p>
    <w:p>
      <w:pPr>
        <w:snapToGrid w:val="0"/>
        <w:spacing w:line="640" w:lineRule="exact"/>
        <w:ind w:firstLine="632" w:firstLineChars="200"/>
        <w:rPr>
          <w:rFonts w:hint="eastAsia" w:ascii="仿宋_GB2312" w:hAnsi="仿宋"/>
          <w:color w:val="000000"/>
        </w:rPr>
      </w:pPr>
      <w:r>
        <w:rPr>
          <w:rFonts w:hint="eastAsia" w:ascii="仿宋_GB2312" w:hAnsi="仿宋"/>
          <w:color w:val="000000"/>
        </w:rPr>
        <w:t xml:space="preserve">注重加强校风和班风建设，明确提出“荻画笃行”的校训和“团结勤奋，求实创新”的校风，要求加强班级文化建设，形成良好的班风，以好的班风促进好学风的形成，引导学生自我管理、自我教育。学校德育处多次发出倡议书号召全体学生加强道德修养，组织开展心理健康教育，开放心理咨询室，邀请相关专家作辅导报告，关注个别学生的心理辅导和行为矫正，预防学生犯罪。围绕学生学习、生活中遇到的突出问题和难点问题开展了形式多样、内容丰富的班级、团组织和学生会活动，开展演讲赛、歌咏比赛、手抄报、诗朗诵、读书心得等相关活动进行德育教育。注重加强与学生家庭、社区的联系，构建学校、家庭、社会“三位一体”的德育工作网络，定期家访，共同创建良好的德育环境。学生综合素质有了很大提高。学生树立了正确的世界观、人生观、价值观和就业观。热爱祖国、热爱中国共产党，有社会责任感和较强的法律意识，养成了团结互助、诚实守信、艰苦奋斗、勤俭节约的良好品质和职业道德。学生中无重大违法乱纪的行为，学生操行合格率达到93%以上。 </w:t>
      </w:r>
    </w:p>
    <w:p>
      <w:pPr>
        <w:snapToGrid w:val="0"/>
        <w:spacing w:line="640" w:lineRule="exact"/>
        <w:ind w:firstLine="632" w:firstLineChars="200"/>
        <w:rPr>
          <w:rFonts w:hint="eastAsia" w:ascii="仿宋_GB2312" w:hAnsi="仿宋_GB2312" w:cs="仿宋_GB2312"/>
        </w:rPr>
      </w:pPr>
      <w:r>
        <w:rPr>
          <w:rFonts w:hint="eastAsia" w:ascii="仿宋_GB2312" w:hAnsi="仿宋_GB2312" w:cs="仿宋_GB2312"/>
        </w:rPr>
        <w:t xml:space="preserve">学校德育工作内容丰富多彩，先后开展了“少年工匠心向党，青春奋进新时代”主题教育系列活动：组织学生收看了《开学第一课》，开展了“迎国庆.爱祖国 ”红歌合唱比赛活动，组织学生观看电视《长津湖》。开展了“技能成长，强国有我”主题教育系列活动：组织学生观看了庆祝中国共产主义青年团成立100周年大会，开展了“喜迎二十大 奋进新征程”为主题的文艺活动暨第四届校园文化艺术节。各种专题教育活动的开展，涵盖了学生健康成长、道德品质形成过程中的各方面工作。 </w:t>
      </w:r>
    </w:p>
    <w:p>
      <w:pPr>
        <w:snapToGrid w:val="0"/>
        <w:spacing w:line="640" w:lineRule="exact"/>
        <w:rPr>
          <w:rFonts w:hint="eastAsia" w:ascii="仿宋_GB2312"/>
          <w:b/>
          <w:snapToGrid w:val="0"/>
          <w:spacing w:val="0"/>
          <w:kern w:val="0"/>
        </w:rPr>
      </w:pPr>
      <w:r>
        <w:rPr>
          <w:rFonts w:hint="eastAsia" w:ascii="仿宋_GB2312"/>
          <w:b/>
          <w:snapToGrid w:val="0"/>
          <w:spacing w:val="0"/>
          <w:kern w:val="0"/>
        </w:rPr>
        <w:t>1.3在校体验</w:t>
      </w:r>
    </w:p>
    <w:p>
      <w:pPr>
        <w:snapToGrid w:val="0"/>
        <w:spacing w:line="640" w:lineRule="exact"/>
        <w:ind w:firstLine="632" w:firstLineChars="200"/>
        <w:rPr>
          <w:rFonts w:hint="eastAsia" w:ascii="仿宋_GB2312"/>
        </w:rPr>
      </w:pPr>
      <w:r>
        <w:rPr>
          <w:rFonts w:hint="eastAsia" w:ascii="仿宋_GB2312"/>
        </w:rPr>
        <w:t>学校以“学生满意、家长满意、社会满意”为目标，以 “立德树人，促进就业”为宗旨，因材施教，多元育人，注重理论教学，突出实践实训。一是开齐、开足体育课、音乐课、美术课。二是开展多样社团活动。三是理实一体、任务驱动教学，培养学生实践技能。</w:t>
      </w:r>
    </w:p>
    <w:p>
      <w:pPr>
        <w:snapToGrid w:val="0"/>
        <w:spacing w:line="640" w:lineRule="exact"/>
        <w:ind w:firstLine="632" w:firstLineChars="200"/>
        <w:rPr>
          <w:rFonts w:hint="eastAsia" w:ascii="仿宋_GB2312"/>
        </w:rPr>
      </w:pPr>
      <w:r>
        <w:rPr>
          <w:rFonts w:hint="eastAsia" w:ascii="仿宋_GB2312"/>
        </w:rPr>
        <w:t>学校以“学生满意度”为核心，每学期均开展学生“评教”问卷调查和家长满意度调查。，学校主要从理论学习满意度、专业学习满意度、实习实训满意度、校园文化与社团活动满意度、生活状况满意度、校园安全满意度等方面开展了对在校生的调查，教务处于期中、期末组织人员深入班级，发放调查问卷，收集学生对教育教学工作的意见和建议。发放调查问卷近3300份，如数回收，汇总统计，及时召开教职工会议反馈调查结果，有针对性进行整改。各班通过家长微信群、钉钉平台等方式，调查家长对学校教育教学工作的满意度。</w:t>
      </w:r>
    </w:p>
    <w:p>
      <w:pPr>
        <w:snapToGrid w:val="0"/>
        <w:spacing w:line="640" w:lineRule="exact"/>
        <w:ind w:firstLine="632" w:firstLineChars="200"/>
        <w:rPr>
          <w:rFonts w:hint="eastAsia" w:ascii="仿宋_GB2312"/>
        </w:rPr>
      </w:pPr>
      <w:r>
        <w:rPr>
          <w:rFonts w:hint="eastAsia" w:ascii="仿宋_GB2312"/>
        </w:rPr>
        <w:t>通过以上措施，学生获得了丰富多彩的在校体验，在校生满意度达93%，其中课堂育人满意度93%，课外育人满意度92%，思想政治课满意度95%，公共基础课满意度93% ，专业课教学满意度92%。学生家长满意度93%。在校学生思想政治素质健康、积极向上，有理想，有目标，有较高的政治、公益参与意识，能够积极参加团组织活动和青年志愿者活动。</w:t>
      </w:r>
    </w:p>
    <w:p>
      <w:pPr>
        <w:snapToGrid w:val="0"/>
        <w:spacing w:line="640" w:lineRule="exact"/>
        <w:rPr>
          <w:rFonts w:hint="eastAsia" w:ascii="仿宋_GB2312"/>
          <w:b/>
          <w:snapToGrid w:val="0"/>
          <w:spacing w:val="0"/>
          <w:kern w:val="0"/>
        </w:rPr>
      </w:pPr>
      <w:r>
        <w:rPr>
          <w:rFonts w:hint="eastAsia" w:ascii="仿宋_GB2312"/>
          <w:b/>
          <w:snapToGrid w:val="0"/>
          <w:spacing w:val="0"/>
          <w:kern w:val="0"/>
        </w:rPr>
        <w:t>1.4就业质量</w:t>
      </w:r>
    </w:p>
    <w:p>
      <w:pPr>
        <w:snapToGrid w:val="0"/>
        <w:spacing w:line="640" w:lineRule="exact"/>
        <w:ind w:firstLine="632" w:firstLineChars="200"/>
        <w:rPr>
          <w:rFonts w:hint="eastAsia" w:ascii="仿宋_GB2312" w:hAnsi="仿宋_GB2312" w:cs="仿宋_GB2312"/>
        </w:rPr>
      </w:pPr>
      <w:r>
        <w:rPr>
          <w:rFonts w:hint="eastAsia" w:ascii="仿宋_GB2312" w:hAnsi="仿宋_GB2312" w:cs="仿宋_GB2312"/>
        </w:rPr>
        <w:t>学校高度重视就业服务工作，建立了就业服务体系，健全就业安置工作机构，与知名企业建立校企合作，对口安置合作关系。学生大部分通过对口升学形式就业。主要措施：一是重视职业指导。开展了“技能成才，强国有我”主题教育，引导学生树立职业理想，做好职业规划。二是联系用人单位人员来校开展就业专题讲座。三是重点加强学生就业前的技能准备工作。重点抓了学生的技能、能力的训练和培养，组织了技能大赛。四是组织学生外出顶岗实习，引导学生准确的定位，树立正确的择业观。五是做好毕业生实习跟踪指导工作。学校设立了就业办，制定了学生实习成绩考核标准，落实跟踪指导机制。学校坚持理论与实践相结合，强化校企协同育人，将职业精神养成教育贯穿学生实习全过程，促进职业技能与职业精神高度融合，服务学生全面发展，提高技术技能人才培养质量和就业创业能力。</w:t>
      </w:r>
    </w:p>
    <w:p>
      <w:pPr>
        <w:snapToGrid w:val="0"/>
        <w:spacing w:line="640" w:lineRule="exact"/>
        <w:ind w:firstLine="790" w:firstLineChars="250"/>
        <w:rPr>
          <w:rFonts w:hint="eastAsia" w:ascii="仿宋_GB2312" w:hAnsi="仿宋_GB2312" w:cs="仿宋_GB2312"/>
        </w:rPr>
      </w:pPr>
      <w:r>
        <w:rPr>
          <w:rFonts w:hint="eastAsia" w:ascii="仿宋_GB2312"/>
        </w:rPr>
        <w:t>2022年秋季，我校共毕业学生535人，其中直接安置就业113人，升入高一级院校继续学习386人，毕业生就业率93.3%，对口就业率84.2%。</w:t>
      </w:r>
    </w:p>
    <w:p>
      <w:pPr>
        <w:snapToGrid w:val="0"/>
        <w:spacing w:line="640" w:lineRule="exact"/>
        <w:rPr>
          <w:rFonts w:hint="eastAsia" w:ascii="仿宋_GB2312"/>
          <w:b/>
          <w:snapToGrid w:val="0"/>
          <w:spacing w:val="0"/>
          <w:kern w:val="0"/>
        </w:rPr>
      </w:pPr>
      <w:r>
        <w:rPr>
          <w:rFonts w:hint="eastAsia" w:ascii="仿宋_GB2312"/>
          <w:b/>
          <w:snapToGrid w:val="0"/>
          <w:spacing w:val="0"/>
          <w:kern w:val="0"/>
        </w:rPr>
        <w:t>1.5创新创业</w:t>
      </w:r>
    </w:p>
    <w:p>
      <w:pPr>
        <w:snapToGrid w:val="0"/>
        <w:spacing w:line="640" w:lineRule="exact"/>
        <w:ind w:firstLine="632" w:firstLineChars="200"/>
        <w:rPr>
          <w:rFonts w:hint="eastAsia" w:ascii="仿宋_GB2312"/>
        </w:rPr>
      </w:pPr>
      <w:r>
        <w:rPr>
          <w:rFonts w:hint="eastAsia" w:ascii="仿宋_GB2312"/>
        </w:rPr>
        <w:t>学校将创新创业课程纳入专业人才培养体系，不仅开设了就业创业类课程，还积极搭建创新创业平台，鼓励学生进行创新创业实践，大力发展校内创业园，鼓励学生自由创业实践，带动了学生对创业、职业的认知与实践发展，取得成效明显，2022年秋季，我校毕业学生中，有2人成功自主创业。</w:t>
      </w:r>
    </w:p>
    <w:p>
      <w:pPr>
        <w:snapToGrid w:val="0"/>
        <w:spacing w:line="640" w:lineRule="exact"/>
        <w:rPr>
          <w:rFonts w:hint="eastAsia" w:ascii="仿宋_GB2312"/>
          <w:b/>
          <w:snapToGrid w:val="0"/>
          <w:spacing w:val="0"/>
          <w:kern w:val="0"/>
        </w:rPr>
      </w:pPr>
      <w:r>
        <w:rPr>
          <w:rFonts w:hint="eastAsia" w:ascii="仿宋_GB2312"/>
          <w:b/>
          <w:snapToGrid w:val="0"/>
          <w:spacing w:val="0"/>
          <w:kern w:val="0"/>
        </w:rPr>
        <w:t>1.6技能大赛</w:t>
      </w:r>
    </w:p>
    <w:p>
      <w:pPr>
        <w:snapToGrid w:val="0"/>
        <w:spacing w:line="640" w:lineRule="exact"/>
        <w:rPr>
          <w:rFonts w:hint="eastAsia" w:ascii="仿宋_GB2312"/>
        </w:rPr>
      </w:pPr>
      <w:r>
        <w:rPr>
          <w:rFonts w:hint="eastAsia" w:ascii="仿宋_GB2312"/>
        </w:rPr>
        <w:t>（暂缺）</w:t>
      </w:r>
    </w:p>
    <w:p>
      <w:pPr>
        <w:snapToGrid w:val="0"/>
        <w:spacing w:line="640" w:lineRule="exact"/>
        <w:rPr>
          <w:rFonts w:hint="eastAsia" w:ascii="仿宋_GB2312"/>
          <w:b/>
          <w:bCs/>
          <w:snapToGrid w:val="0"/>
          <w:spacing w:val="0"/>
          <w:kern w:val="0"/>
        </w:rPr>
      </w:pPr>
      <w:r>
        <w:rPr>
          <w:rFonts w:hint="eastAsia" w:ascii="仿宋_GB2312"/>
          <w:b/>
          <w:bCs/>
          <w:snapToGrid w:val="0"/>
          <w:spacing w:val="0"/>
          <w:kern w:val="0"/>
        </w:rPr>
        <w:t>2 教育教学质量</w:t>
      </w:r>
    </w:p>
    <w:p>
      <w:pPr>
        <w:snapToGrid w:val="0"/>
        <w:spacing w:line="640" w:lineRule="exact"/>
        <w:rPr>
          <w:rFonts w:hint="eastAsia" w:ascii="仿宋_GB2312"/>
          <w:b/>
          <w:snapToGrid w:val="0"/>
          <w:spacing w:val="0"/>
          <w:kern w:val="0"/>
        </w:rPr>
      </w:pPr>
      <w:r>
        <w:rPr>
          <w:rFonts w:hint="eastAsia" w:ascii="仿宋_GB2312"/>
          <w:b/>
          <w:snapToGrid w:val="0"/>
          <w:spacing w:val="0"/>
          <w:kern w:val="0"/>
        </w:rPr>
        <w:t>2.1专业建设质量</w:t>
      </w:r>
    </w:p>
    <w:p>
      <w:pPr>
        <w:snapToGrid w:val="0"/>
        <w:spacing w:line="640" w:lineRule="exact"/>
        <w:ind w:firstLine="474" w:firstLineChars="150"/>
        <w:rPr>
          <w:rFonts w:hint="eastAsia" w:ascii="仿宋_GB2312"/>
        </w:rPr>
      </w:pPr>
      <w:r>
        <w:rPr>
          <w:rFonts w:hint="eastAsia" w:ascii="仿宋_GB2312"/>
        </w:rPr>
        <w:t>一是建立人才需求与专业设置动态调整机制，修订和完善了《专业人才培养方案》。贯彻落实《教育部关于职业院校专业人才培养方案制订与实施工作的指导意见》（教职成〔2019〕13号），成立了由行业企业专家和本校骨干教师组成的专业建设委员会，根据调研结果修订了《人才培养方案》。二是加强专业建设，服务区域经济发展。学校能够主动适应区域产业结构优化升级要求，新增设了航空服务专业。</w:t>
      </w:r>
    </w:p>
    <w:p>
      <w:pPr>
        <w:snapToGrid w:val="0"/>
        <w:spacing w:line="640" w:lineRule="exact"/>
        <w:ind w:firstLine="474" w:firstLineChars="150"/>
        <w:rPr>
          <w:rFonts w:hint="eastAsia" w:ascii="仿宋_GB2312"/>
        </w:rPr>
      </w:pPr>
      <w:r>
        <w:rPr>
          <w:rFonts w:hint="eastAsia" w:ascii="仿宋_GB2312"/>
        </w:rPr>
        <w:t>学校的专业建设紧贴行业企业，紧盯产业转型和技术升级，让专业建设内在要素、课程体系、教学内容、实习实训等始终适应市场，保持活力，为加快技能人才培养提供了坚实保障。</w:t>
      </w:r>
    </w:p>
    <w:p>
      <w:pPr>
        <w:snapToGrid w:val="0"/>
        <w:spacing w:line="640" w:lineRule="exact"/>
        <w:rPr>
          <w:rFonts w:hint="eastAsia" w:ascii="仿宋_GB2312"/>
          <w:b/>
          <w:snapToGrid w:val="0"/>
          <w:spacing w:val="0"/>
          <w:kern w:val="0"/>
        </w:rPr>
      </w:pPr>
      <w:r>
        <w:rPr>
          <w:rFonts w:hint="eastAsia" w:ascii="仿宋_GB2312"/>
          <w:b/>
          <w:snapToGrid w:val="0"/>
          <w:spacing w:val="0"/>
          <w:kern w:val="0"/>
        </w:rPr>
        <w:t>2.2课程建设质量</w:t>
      </w:r>
    </w:p>
    <w:p>
      <w:pPr>
        <w:snapToGrid w:val="0"/>
        <w:spacing w:line="640" w:lineRule="exact"/>
        <w:ind w:firstLine="632" w:firstLineChars="200"/>
        <w:rPr>
          <w:rFonts w:hint="eastAsia" w:ascii="仿宋_GB2312"/>
        </w:rPr>
      </w:pPr>
      <w:r>
        <w:rPr>
          <w:rFonts w:hint="eastAsia" w:ascii="仿宋_GB2312"/>
        </w:rPr>
        <w:t>学校贯彻国家新《职业教育法》，以职业教育国家教学标准为基本遵循，贯彻落实党和国家在课程设置、教学内容等方面的基本要求，规范课程设置，保证课程建设质量。严格按照国家有关规定开齐开足公共基础课程。专业课程设置与培养目标相适应，课程内容突出应用性和实践性，注重学生职业能力和职业精神的培养。</w:t>
      </w:r>
    </w:p>
    <w:p>
      <w:pPr>
        <w:snapToGrid w:val="0"/>
        <w:spacing w:line="640" w:lineRule="exact"/>
        <w:ind w:firstLine="632" w:firstLineChars="200"/>
        <w:rPr>
          <w:rFonts w:hint="eastAsia" w:ascii="仿宋_GB2312"/>
        </w:rPr>
      </w:pPr>
      <w:r>
        <w:rPr>
          <w:rFonts w:hint="eastAsia" w:ascii="仿宋_GB2312"/>
        </w:rPr>
        <w:t>课程建设遵循的主要标准有：1.将马克思主义理论类课程、党史国史、中华优秀传统文化、职业发展与就业指导、创新创业教育、信息技术、语文、数学、外语、健康教育、美育课程、职业素养等列为必修课或限定选修课。2.每学年安排40周教学活动。公共基础课程学时一般占总学时的1/3。3.实践性教学学时原则上占总学时数50%以上。</w:t>
      </w:r>
    </w:p>
    <w:p>
      <w:pPr>
        <w:snapToGrid w:val="0"/>
        <w:spacing w:line="640" w:lineRule="exact"/>
        <w:rPr>
          <w:rFonts w:hint="eastAsia" w:ascii="仿宋_GB2312"/>
          <w:b/>
          <w:snapToGrid w:val="0"/>
          <w:spacing w:val="0"/>
          <w:kern w:val="0"/>
        </w:rPr>
      </w:pPr>
      <w:r>
        <w:rPr>
          <w:rFonts w:hint="eastAsia" w:ascii="仿宋_GB2312"/>
          <w:b/>
          <w:snapToGrid w:val="0"/>
          <w:spacing w:val="0"/>
          <w:kern w:val="0"/>
        </w:rPr>
        <w:t>2.3教学方法改革</w:t>
      </w:r>
    </w:p>
    <w:p>
      <w:pPr>
        <w:snapToGrid w:val="0"/>
        <w:spacing w:line="640" w:lineRule="exact"/>
        <w:ind w:firstLine="632" w:firstLineChars="200"/>
        <w:rPr>
          <w:rFonts w:hint="eastAsia" w:ascii="仿宋_GB2312" w:hAnsi="仿宋_GB2312" w:cs="仿宋_GB2312"/>
        </w:rPr>
      </w:pPr>
      <w:r>
        <w:rPr>
          <w:rFonts w:hint="eastAsia" w:ascii="仿宋_GB2312"/>
          <w:shd w:val="clear" w:color="auto" w:fill="FFFFFF"/>
        </w:rPr>
        <w:t>积极推动“以学生为主体，教师为主导”为核心，“分层教学，分类指导”为抓手的课堂教学改革，通过课堂导入要“巧”，自主学习要“帮”，合作探究要“导”，知识讲解要“精”等环节，调动教师和学生的积极性、主动性，有效推进课堂改革。同时，抓好配套制度建设，将课堂改革与教师量化挂钩，将课堂表现与学生量化挂钩，抓好“两个挂钩”，从制度上保障课堂改革的实施。</w:t>
      </w:r>
    </w:p>
    <w:p>
      <w:pPr>
        <w:snapToGrid w:val="0"/>
        <w:spacing w:line="640" w:lineRule="exact"/>
        <w:rPr>
          <w:rFonts w:hint="eastAsia" w:ascii="仿宋_GB2312"/>
          <w:b/>
          <w:snapToGrid w:val="0"/>
          <w:spacing w:val="0"/>
          <w:kern w:val="0"/>
        </w:rPr>
      </w:pPr>
      <w:r>
        <w:rPr>
          <w:rFonts w:hint="eastAsia" w:ascii="仿宋_GB2312"/>
          <w:b/>
          <w:snapToGrid w:val="0"/>
          <w:spacing w:val="0"/>
          <w:kern w:val="0"/>
        </w:rPr>
        <w:t>2.4教材建设质量</w:t>
      </w:r>
    </w:p>
    <w:p>
      <w:pPr>
        <w:snapToGrid w:val="0"/>
        <w:spacing w:line="640" w:lineRule="exact"/>
        <w:ind w:firstLine="632" w:firstLineChars="200"/>
        <w:rPr>
          <w:rFonts w:hint="eastAsia" w:ascii="仿宋_GB2312"/>
        </w:rPr>
      </w:pPr>
      <w:r>
        <w:rPr>
          <w:rFonts w:hint="eastAsia" w:ascii="仿宋_GB2312"/>
        </w:rPr>
        <w:t>学校认真落实教育部《职业院校教材管理办法》、《陕西省职业院校教材管理实施细则》要求，通过加强中等职业学校教材建设，推进教材管理科学化和规范化。</w:t>
      </w:r>
    </w:p>
    <w:p>
      <w:pPr>
        <w:snapToGrid w:val="0"/>
        <w:spacing w:line="640" w:lineRule="exact"/>
        <w:ind w:firstLine="632" w:firstLineChars="200"/>
        <w:rPr>
          <w:rFonts w:hint="eastAsia" w:ascii="仿宋_GB2312"/>
        </w:rPr>
      </w:pPr>
      <w:r>
        <w:rPr>
          <w:rFonts w:hint="eastAsia" w:ascii="仿宋_GB2312"/>
        </w:rPr>
        <w:t>强化学校党组织领导下的教材工作领导机构，建立健全教材审定、选用工作机构。我校教材的选用均由各专业组、教研组提出草案，教材工作领导小组讨论后统一征订。严格执行教材教辅材料准入制度。 坚持专业教学标准，坚持教材正规渠道，优先从教育部和省教育厅发布的教材推荐目录中选用教材。思想政治、语文、历史三科严格使用国家统编教材；公共基础必修课程教材在教育部发布的国家规划教材目录中选用；部分专业课教材在国家和省级规划目录中没有，学校在职业院校教材信息库选用，选用的教材均是通过审核的版本，未有盗版、盗印教材。</w:t>
      </w:r>
    </w:p>
    <w:p>
      <w:pPr>
        <w:snapToGrid w:val="0"/>
        <w:spacing w:line="640" w:lineRule="exact"/>
        <w:rPr>
          <w:rFonts w:hint="eastAsia" w:ascii="仿宋_GB2312"/>
          <w:b/>
          <w:snapToGrid w:val="0"/>
          <w:spacing w:val="0"/>
          <w:kern w:val="0"/>
        </w:rPr>
      </w:pPr>
      <w:r>
        <w:rPr>
          <w:rFonts w:hint="eastAsia" w:ascii="仿宋_GB2312"/>
          <w:b/>
          <w:snapToGrid w:val="0"/>
          <w:spacing w:val="0"/>
          <w:kern w:val="0"/>
        </w:rPr>
        <w:t>2.5数字化教学资源建设</w:t>
      </w:r>
    </w:p>
    <w:p>
      <w:pPr>
        <w:snapToGrid w:val="0"/>
        <w:spacing w:line="640" w:lineRule="exact"/>
        <w:ind w:firstLine="632" w:firstLineChars="200"/>
        <w:rPr>
          <w:rFonts w:hint="eastAsia" w:ascii="仿宋_GB2312"/>
        </w:rPr>
      </w:pPr>
      <w:r>
        <w:rPr>
          <w:rFonts w:hint="eastAsia" w:ascii="仿宋_GB2312"/>
        </w:rPr>
        <w:t>学校成立教学资源与信息化建设领导小组，将专业教学目标、专业教学标准、专业优质核心课程体系、实习实训指导、学习评价等整合处理，推行“项目教学”、“案例教学”、“情境教学”等教学模式改革。优化创新教学内容，提高信息化教学水平，广泛采用多媒体辅助教学手段，按照一体化教学的要求，整合相关教学资源建立电子教案库、实训案例库、教学视频、相关图片、实物模型等组成专业的教学资源库，将多媒体技术最大可能的植入专业教学活动之中，利用教学软件、教学课件、多媒体教学平台等多种媒体形式组成的专业教学资源库系统。</w:t>
      </w:r>
    </w:p>
    <w:p>
      <w:pPr>
        <w:snapToGrid w:val="0"/>
        <w:spacing w:line="640" w:lineRule="exact"/>
        <w:rPr>
          <w:rFonts w:hint="eastAsia" w:ascii="仿宋_GB2312"/>
          <w:b/>
          <w:snapToGrid w:val="0"/>
          <w:spacing w:val="0"/>
          <w:kern w:val="0"/>
        </w:rPr>
      </w:pPr>
      <w:r>
        <w:rPr>
          <w:rFonts w:hint="eastAsia" w:ascii="仿宋_GB2312"/>
          <w:b/>
          <w:snapToGrid w:val="0"/>
          <w:spacing w:val="0"/>
          <w:kern w:val="0"/>
        </w:rPr>
        <w:t>2.6师资队伍建设</w:t>
      </w:r>
    </w:p>
    <w:p>
      <w:pPr>
        <w:snapToGrid w:val="0"/>
        <w:spacing w:line="640" w:lineRule="exact"/>
        <w:ind w:firstLine="632" w:firstLineChars="200"/>
        <w:rPr>
          <w:rFonts w:hint="eastAsia" w:ascii="仿宋_GB2312" w:hAnsi="仿宋_GB2312" w:cs="仿宋_GB2312"/>
        </w:rPr>
      </w:pPr>
      <w:r>
        <w:rPr>
          <w:rFonts w:hint="eastAsia" w:ascii="仿宋_GB2312" w:hAnsi="仿宋_GB2312" w:cs="仿宋_GB2312"/>
        </w:rPr>
        <w:t>学校现有教职员工115人，其中专任教师92人，专业课教师33人，师生比1:15，学校在编专任教师本科以上学历68人，占专任教师74%，其中副高级职称以上8人，中级职称60人，双师型教师16人，占专任教师的17.3%，实训指导教师18人；中餐烹饪与城市轨道交通运营服务专业聘有来自酒店和铁路行业的兼职教师16人，约占专任教师的17%。实施名家办学、专家治校。教学中理论与实践紧密结合，为教学质量稳步提升奠定了坚实基础。</w:t>
      </w:r>
    </w:p>
    <w:p>
      <w:pPr>
        <w:snapToGrid w:val="0"/>
        <w:spacing w:line="640" w:lineRule="exact"/>
        <w:ind w:firstLine="632" w:firstLineChars="200"/>
        <w:rPr>
          <w:rFonts w:hint="eastAsia" w:ascii="仿宋_GB2312"/>
        </w:rPr>
      </w:pPr>
      <w:r>
        <w:rPr>
          <w:rFonts w:hint="eastAsia" w:ascii="仿宋_GB2312" w:hAnsi="仿宋_GB2312" w:cs="仿宋_GB2312"/>
        </w:rPr>
        <w:t>为加大教师队伍建设力度，在教研教改工作中，学校提出教师队伍培训的原则要求，学校制定了教师队伍建设的方向、目标和任务；定期开展“说教材、说教法、说学生”说课活动；要求教师教案“常教常新”，不能一本教案教到底；定期开展评教案、评课堂、评作业活动； 提倡教师学先进、学经验、学样板。围绕这些原则，学校在教师中组织开展了技能练兵活动，通过汇报课、达标课、观摩课、优质课、示范课的课堂教学技能层次推进，促进了教师教学技能和水平的提升。先后有42名教师参加了“信息化教学能力”、“思政教师”、“创新创业”、“1+x”证书等项目的省培、国培，6名教师参加了渭南市中职学校教师教学能力大赛，1名教师参加了渭南市思政课教师“大练兵”活动，4名教师参加了渭南市</w:t>
      </w:r>
      <w:r>
        <w:rPr>
          <w:rFonts w:hint="eastAsia" w:ascii="仿宋_GB2312"/>
        </w:rPr>
        <w:t>中等职业学校班主任能力比赛，</w:t>
      </w:r>
      <w:r>
        <w:rPr>
          <w:rFonts w:hint="eastAsia" w:ascii="仿宋_GB2312" w:hAnsi="仿宋_GB2312" w:cs="仿宋_GB2312"/>
        </w:rPr>
        <w:t>6名教师进企业实践活动，通过这些活动，有力的推动了教师队伍建设。</w:t>
      </w:r>
    </w:p>
    <w:p>
      <w:pPr>
        <w:snapToGrid w:val="0"/>
        <w:spacing w:line="640" w:lineRule="exact"/>
        <w:rPr>
          <w:rFonts w:hint="eastAsia" w:ascii="仿宋_GB2312"/>
          <w:b/>
          <w:snapToGrid w:val="0"/>
          <w:spacing w:val="0"/>
          <w:kern w:val="0"/>
        </w:rPr>
      </w:pPr>
      <w:r>
        <w:rPr>
          <w:rFonts w:hint="eastAsia" w:ascii="仿宋_GB2312"/>
          <w:b/>
          <w:snapToGrid w:val="0"/>
          <w:spacing w:val="0"/>
          <w:kern w:val="0"/>
        </w:rPr>
        <w:t>2.7校企双元育人</w:t>
      </w:r>
    </w:p>
    <w:p>
      <w:pPr>
        <w:snapToGrid w:val="0"/>
        <w:spacing w:line="640" w:lineRule="exact"/>
        <w:ind w:firstLine="632" w:firstLineChars="200"/>
        <w:rPr>
          <w:rFonts w:hint="eastAsia" w:ascii="仿宋_GB2312"/>
        </w:rPr>
      </w:pPr>
      <w:r>
        <w:rPr>
          <w:rFonts w:hint="eastAsia" w:ascii="仿宋_GB2312"/>
        </w:rPr>
        <w:t>学校按照“校企合作、产教融合”的办学要求，在密切和校外实习企业联办关系的基础上，重点合作了厦门天马微电子有限公司、吉利汽车、渭南三合酒店、渭南东江情餐饮有限公司等企业开展校企合作。学校借助企业的资源优势，弥补专业教学的不足，加快了双师型师资队伍建设。学校组织新生分专业到相应企业进行岗位认知体验实习，安排学生到专业对应的企业参观，认知企业的文化、企业的生产等内容，培养了学生的吃苦耐劳精神，增强了学生的岗位适应能力，使学生在实践中学习，学习中实践。</w:t>
      </w:r>
    </w:p>
    <w:p>
      <w:pPr>
        <w:snapToGrid w:val="0"/>
        <w:spacing w:line="640" w:lineRule="exact"/>
        <w:rPr>
          <w:rFonts w:hint="eastAsia" w:ascii="仿宋_GB2312"/>
          <w:b/>
          <w:bCs/>
          <w:snapToGrid w:val="0"/>
          <w:spacing w:val="0"/>
          <w:kern w:val="0"/>
        </w:rPr>
      </w:pPr>
      <w:r>
        <w:rPr>
          <w:rFonts w:hint="eastAsia" w:ascii="仿宋_GB2312"/>
          <w:b/>
          <w:bCs/>
          <w:snapToGrid w:val="0"/>
          <w:spacing w:val="0"/>
          <w:kern w:val="0"/>
        </w:rPr>
        <w:t>3 国际合作质量</w:t>
      </w:r>
    </w:p>
    <w:p>
      <w:pPr>
        <w:snapToGrid w:val="0"/>
        <w:spacing w:line="640" w:lineRule="exact"/>
        <w:ind w:firstLine="316" w:firstLineChars="100"/>
        <w:rPr>
          <w:rFonts w:hint="eastAsia" w:ascii="仿宋_GB2312"/>
        </w:rPr>
      </w:pPr>
      <w:r>
        <w:rPr>
          <w:rFonts w:hint="eastAsia" w:ascii="仿宋_GB2312"/>
        </w:rPr>
        <w:t>作为西部地区县级职业中等专业学校，主要是为本地区经济发展服务，目前还没有参与国际职业教育间的合作。</w:t>
      </w:r>
    </w:p>
    <w:p>
      <w:pPr>
        <w:snapToGrid w:val="0"/>
        <w:spacing w:line="640" w:lineRule="exact"/>
        <w:rPr>
          <w:rFonts w:hint="eastAsia" w:ascii="仿宋_GB2312"/>
          <w:b/>
          <w:bCs/>
          <w:snapToGrid w:val="0"/>
          <w:spacing w:val="0"/>
          <w:kern w:val="0"/>
        </w:rPr>
      </w:pPr>
      <w:r>
        <w:rPr>
          <w:rFonts w:hint="eastAsia" w:ascii="仿宋_GB2312"/>
          <w:b/>
          <w:bCs/>
          <w:snapToGrid w:val="0"/>
          <w:spacing w:val="0"/>
          <w:kern w:val="0"/>
        </w:rPr>
        <w:t>4 服务贡献质量</w:t>
      </w:r>
    </w:p>
    <w:p>
      <w:pPr>
        <w:snapToGrid w:val="0"/>
        <w:spacing w:line="640" w:lineRule="exact"/>
        <w:rPr>
          <w:rFonts w:hint="eastAsia" w:ascii="仿宋_GB2312"/>
          <w:b/>
          <w:snapToGrid w:val="0"/>
          <w:spacing w:val="0"/>
          <w:kern w:val="0"/>
        </w:rPr>
      </w:pPr>
      <w:r>
        <w:rPr>
          <w:rFonts w:hint="eastAsia" w:ascii="仿宋_GB2312"/>
          <w:b/>
          <w:snapToGrid w:val="0"/>
          <w:spacing w:val="0"/>
          <w:kern w:val="0"/>
        </w:rPr>
        <w:t>4.1服务行业企业</w:t>
      </w:r>
    </w:p>
    <w:p>
      <w:pPr>
        <w:snapToGrid w:val="0"/>
        <w:spacing w:line="640" w:lineRule="exact"/>
        <w:ind w:firstLine="632" w:firstLineChars="200"/>
        <w:rPr>
          <w:rFonts w:hint="eastAsia" w:ascii="仿宋_GB2312"/>
        </w:rPr>
      </w:pPr>
      <w:r>
        <w:rPr>
          <w:rFonts w:hint="eastAsia" w:ascii="仿宋_GB2312"/>
        </w:rPr>
        <w:t>2021-2022年度，学校先后培训渭南市域内餐饮行业从员56人，经过培训，有52人顺利通过国家职业资格等级考试并获证，提升了他们从业水平和业务能力。</w:t>
      </w:r>
    </w:p>
    <w:p>
      <w:pPr>
        <w:snapToGrid w:val="0"/>
        <w:spacing w:line="640" w:lineRule="exact"/>
        <w:rPr>
          <w:rFonts w:hint="eastAsia" w:ascii="仿宋_GB2312"/>
          <w:b/>
          <w:snapToGrid w:val="0"/>
          <w:spacing w:val="0"/>
          <w:kern w:val="0"/>
        </w:rPr>
      </w:pPr>
      <w:r>
        <w:rPr>
          <w:rFonts w:hint="eastAsia" w:ascii="仿宋_GB2312"/>
          <w:b/>
          <w:snapToGrid w:val="0"/>
          <w:spacing w:val="0"/>
          <w:kern w:val="0"/>
        </w:rPr>
        <w:t>4.2服务地方发展</w:t>
      </w:r>
    </w:p>
    <w:p>
      <w:pPr>
        <w:snapToGrid w:val="0"/>
        <w:spacing w:line="640" w:lineRule="exact"/>
        <w:rPr>
          <w:rFonts w:hint="eastAsia" w:ascii="仿宋_GB2312"/>
        </w:rPr>
      </w:pPr>
      <w:r>
        <w:rPr>
          <w:rFonts w:hint="eastAsia" w:ascii="仿宋_GB2312"/>
        </w:rPr>
        <w:t>（暂缺）</w:t>
      </w:r>
    </w:p>
    <w:p>
      <w:pPr>
        <w:snapToGrid w:val="0"/>
        <w:spacing w:line="640" w:lineRule="exact"/>
        <w:rPr>
          <w:rFonts w:hint="eastAsia" w:ascii="仿宋_GB2312"/>
          <w:b/>
          <w:snapToGrid w:val="0"/>
          <w:spacing w:val="0"/>
          <w:kern w:val="0"/>
        </w:rPr>
      </w:pPr>
      <w:r>
        <w:rPr>
          <w:rFonts w:hint="eastAsia" w:ascii="仿宋_GB2312"/>
          <w:b/>
          <w:snapToGrid w:val="0"/>
          <w:spacing w:val="0"/>
          <w:kern w:val="0"/>
        </w:rPr>
        <w:t>4.3服务乡村振兴</w:t>
      </w:r>
    </w:p>
    <w:p>
      <w:pPr>
        <w:adjustRightInd w:val="0"/>
        <w:snapToGrid w:val="0"/>
        <w:spacing w:line="640" w:lineRule="exact"/>
        <w:ind w:firstLine="474" w:firstLineChars="150"/>
        <w:jc w:val="left"/>
        <w:rPr>
          <w:rFonts w:hint="eastAsia" w:ascii="仿宋_GB2312" w:hAnsi="仿宋_GB2312" w:cs="仿宋_GB2312"/>
        </w:rPr>
      </w:pPr>
      <w:r>
        <w:rPr>
          <w:rFonts w:hint="eastAsia" w:ascii="仿宋_GB2312" w:hAnsi="仿宋_GB2312" w:cs="仿宋_GB2312"/>
        </w:rPr>
        <w:t>2021-2022年度，学校深入参与渭南高新区乡村振兴工作，先后开展低保户、贫困户农民工实用技术培训，使他们有一技之长，改变家庭命运，一年来先后培训200多人，通过培训，使他们掌握了一定的技能，为就业、创业创造了条件，提供了机遇。</w:t>
      </w:r>
    </w:p>
    <w:p>
      <w:pPr>
        <w:snapToGrid w:val="0"/>
        <w:spacing w:line="640" w:lineRule="exact"/>
        <w:rPr>
          <w:rFonts w:hint="eastAsia" w:ascii="仿宋_GB2312"/>
          <w:b/>
          <w:snapToGrid w:val="0"/>
          <w:spacing w:val="0"/>
          <w:kern w:val="0"/>
        </w:rPr>
      </w:pPr>
      <w:r>
        <w:rPr>
          <w:rFonts w:hint="eastAsia" w:ascii="仿宋_GB2312"/>
          <w:b/>
          <w:snapToGrid w:val="0"/>
          <w:spacing w:val="0"/>
          <w:kern w:val="0"/>
        </w:rPr>
        <w:t>4.4服务地方社区</w:t>
      </w:r>
    </w:p>
    <w:p>
      <w:pPr>
        <w:snapToGrid w:val="0"/>
        <w:spacing w:line="640" w:lineRule="exact"/>
        <w:ind w:firstLine="474" w:firstLineChars="150"/>
        <w:rPr>
          <w:rFonts w:hint="eastAsia" w:ascii="仿宋_GB2312"/>
        </w:rPr>
      </w:pPr>
      <w:r>
        <w:rPr>
          <w:rFonts w:hint="eastAsia" w:ascii="仿宋_GB2312"/>
        </w:rPr>
        <w:t>为深入开展渭南市创建全国文明城市活动，学校成立志愿者服务队伍，深入社区开展问卷调查、创文知识等入户宣传教育、环境卫生整治、疫情防控等志愿者服务活动；同时配合交警参与交通文明劝导活动共计参加志愿者服务160 人次。</w:t>
      </w:r>
    </w:p>
    <w:p>
      <w:pPr>
        <w:snapToGrid w:val="0"/>
        <w:spacing w:line="640" w:lineRule="exact"/>
        <w:rPr>
          <w:rFonts w:hint="eastAsia" w:ascii="仿宋_GB2312"/>
          <w:b/>
          <w:bCs/>
          <w:snapToGrid w:val="0"/>
          <w:spacing w:val="0"/>
          <w:kern w:val="0"/>
        </w:rPr>
      </w:pPr>
      <w:r>
        <w:rPr>
          <w:rFonts w:hint="eastAsia" w:ascii="仿宋_GB2312"/>
          <w:b/>
          <w:bCs/>
          <w:snapToGrid w:val="0"/>
          <w:spacing w:val="0"/>
          <w:kern w:val="0"/>
        </w:rPr>
        <w:t>5 政策落实质量</w:t>
      </w:r>
    </w:p>
    <w:p>
      <w:pPr>
        <w:snapToGrid w:val="0"/>
        <w:spacing w:line="640" w:lineRule="exact"/>
        <w:rPr>
          <w:rFonts w:hint="eastAsia" w:ascii="仿宋_GB2312"/>
          <w:b/>
          <w:snapToGrid w:val="0"/>
          <w:spacing w:val="0"/>
          <w:kern w:val="0"/>
        </w:rPr>
      </w:pPr>
      <w:r>
        <w:rPr>
          <w:rFonts w:hint="eastAsia" w:ascii="仿宋_GB2312"/>
          <w:b/>
          <w:snapToGrid w:val="0"/>
          <w:spacing w:val="0"/>
          <w:kern w:val="0"/>
        </w:rPr>
        <w:t>5.1国家政策落实</w:t>
      </w:r>
    </w:p>
    <w:p>
      <w:pPr>
        <w:snapToGrid w:val="0"/>
        <w:spacing w:line="640" w:lineRule="exact"/>
        <w:ind w:firstLine="632" w:firstLineChars="200"/>
        <w:rPr>
          <w:rFonts w:hint="eastAsia" w:ascii="仿宋_GB2312"/>
        </w:rPr>
      </w:pPr>
      <w:r>
        <w:rPr>
          <w:rFonts w:hint="eastAsia" w:ascii="仿宋_GB2312"/>
        </w:rPr>
        <w:t>学校认真贯彻落实国家有关学生资助政策，落实管理责任，设立专门机构，配齐管理人员，同时将学生资助工作与学生思想教育工作紧密结合，坚持开展资助政策宣传、感恩励志教育、行为规范养成教育等活动、对资助学生定期进行家庭回访、做到精准扶贫，让国家资助在学生成长中发挥积极作用。2021-2022学年度，学校为1人申请国家奖学金，6000元，所有资助款项均已按国家规定发放到位；为一、二、三年级2522人申请中职免学费补助，免除学生应交学费201.76万元，为一、二年级中的家庭经济困难学生255人申请中职国家助学金补助，共计24.775万元。</w:t>
      </w:r>
    </w:p>
    <w:p>
      <w:pPr>
        <w:snapToGrid w:val="0"/>
        <w:spacing w:line="640" w:lineRule="exact"/>
        <w:rPr>
          <w:rFonts w:hint="eastAsia" w:ascii="仿宋_GB2312"/>
          <w:b/>
          <w:snapToGrid w:val="0"/>
          <w:spacing w:val="0"/>
          <w:kern w:val="0"/>
        </w:rPr>
      </w:pPr>
      <w:r>
        <w:rPr>
          <w:rFonts w:hint="eastAsia" w:ascii="仿宋_GB2312"/>
          <w:b/>
          <w:snapToGrid w:val="0"/>
          <w:spacing w:val="0"/>
          <w:kern w:val="0"/>
        </w:rPr>
        <w:t>5.2地方政策落实</w:t>
      </w:r>
    </w:p>
    <w:p>
      <w:pPr>
        <w:snapToGrid w:val="0"/>
        <w:spacing w:line="640" w:lineRule="exact"/>
        <w:ind w:firstLine="632" w:firstLineChars="200"/>
        <w:rPr>
          <w:rFonts w:hint="eastAsia" w:ascii="仿宋_GB2312"/>
        </w:rPr>
      </w:pPr>
      <w:r>
        <w:rPr>
          <w:rFonts w:hint="eastAsia" w:ascii="仿宋_GB2312"/>
        </w:rPr>
        <w:t>本学年，学校严格落实渭南市教育局关于中职招生要求：高中阶段职普比不低于4∶6要求，合理制定高中阶段学校招生计划，完善普通高中和中职学校统一招生平台，规范职业教育招生行为，扩大职业教育招生规模。2021-2022年学年，共计招生784人，圆满完成上级下达的招生任务。</w:t>
      </w:r>
    </w:p>
    <w:p>
      <w:pPr>
        <w:snapToGrid w:val="0"/>
        <w:spacing w:line="640" w:lineRule="exact"/>
        <w:ind w:firstLine="600"/>
        <w:rPr>
          <w:rFonts w:hint="eastAsia" w:ascii="仿宋_GB2312"/>
        </w:rPr>
      </w:pPr>
      <w:r>
        <w:rPr>
          <w:rFonts w:hint="eastAsia" w:ascii="仿宋_GB2312"/>
        </w:rPr>
        <w:t>本学年，学校能够贯彻落实渭南市教育局打造一批市级精品、示范、特色专业的要求，积极行动，对照《渭南市中等职业教育特色专业建设标准》，逐项逐条进行自查，整改完善，努力创建我校中餐烹饪特色专业，顺利经过市级专家组评估验收。</w:t>
      </w:r>
    </w:p>
    <w:p>
      <w:pPr>
        <w:snapToGrid w:val="0"/>
        <w:spacing w:line="640" w:lineRule="exact"/>
        <w:rPr>
          <w:rFonts w:hint="eastAsia" w:ascii="仿宋_GB2312"/>
        </w:rPr>
      </w:pPr>
      <w:r>
        <w:rPr>
          <w:rFonts w:hint="eastAsia" w:ascii="仿宋_GB2312"/>
        </w:rPr>
        <w:t xml:space="preserve">    本学年，学校认真贯彻落实开展渭南市中等职业学校质量检测统一考试，提高渭南职业教育质量要求，按照渭南市教育局、渭南市职业教育学会《关于全市中等职业学校2022年质量检测统一考试组考工作的通知》要求，做好参试学生报名、考场布置、考试程序册的编制、考务人员及监考教师培训、考试的全面组织、统考质量分析报告的编撰工作，圆满完成本学年全市质量检测统一考试工作。</w:t>
      </w:r>
    </w:p>
    <w:p>
      <w:pPr>
        <w:snapToGrid w:val="0"/>
        <w:spacing w:line="640" w:lineRule="exact"/>
        <w:rPr>
          <w:rFonts w:hint="eastAsia" w:ascii="仿宋_GB2312"/>
          <w:b/>
          <w:snapToGrid w:val="0"/>
          <w:spacing w:val="0"/>
          <w:kern w:val="0"/>
        </w:rPr>
      </w:pPr>
      <w:r>
        <w:rPr>
          <w:rFonts w:hint="eastAsia" w:ascii="仿宋_GB2312"/>
          <w:b/>
          <w:snapToGrid w:val="0"/>
          <w:spacing w:val="0"/>
          <w:kern w:val="0"/>
        </w:rPr>
        <w:t>5.3学校治理</w:t>
      </w:r>
    </w:p>
    <w:p>
      <w:pPr>
        <w:snapToGrid w:val="0"/>
        <w:spacing w:line="640" w:lineRule="exact"/>
        <w:ind w:firstLine="632" w:firstLineChars="200"/>
        <w:rPr>
          <w:rFonts w:hint="eastAsia" w:ascii="仿宋_GB2312"/>
        </w:rPr>
      </w:pPr>
      <w:r>
        <w:rPr>
          <w:rFonts w:hint="eastAsia" w:ascii="仿宋_GB2312"/>
        </w:rPr>
        <w:t>学校坚持党的教育方针，贯彻落实国家教育相关法律法规，坚持依法办学、依法治校。学校不断加强规章制度建设，编定制度汇编，形成了以《渭南西北新世纪职业中等专业学校章程》为核心的规章制度体系，完善了各项规章制度，不断健全科学决策、民主管理的体制机制，完善内部治理结构，依法规范办学行为，保障师生合法权益。</w:t>
      </w:r>
    </w:p>
    <w:p>
      <w:pPr>
        <w:snapToGrid w:val="0"/>
        <w:spacing w:line="640" w:lineRule="exact"/>
        <w:ind w:firstLine="474" w:firstLineChars="150"/>
        <w:rPr>
          <w:rFonts w:hint="eastAsia" w:ascii="仿宋_GB2312"/>
        </w:rPr>
      </w:pPr>
      <w:r>
        <w:rPr>
          <w:rFonts w:hint="eastAsia" w:ascii="仿宋_GB2312"/>
        </w:rPr>
        <w:t>学校有较强的办学自主权，由校长全面负责学校各项工作，定期召开校务会议、教职工周例会、教师会议、教职工代表大会等，审议表决学校重大工作，保证政务公开透明。学校实行严格的干部管理制度，建立部门目标责任制和责任追究制。建立健全工会组织，坚持校务公开和民主决策，学校的重大决定必须在教职工代表大会上表决通过，使得各项办学行为合乎规范，学校无违法违纪行为，社会影响良好。聘请渭南高新区白杨派出所屈唐明警官为我校法制副校长，有效监督学校依法办学水平。</w:t>
      </w:r>
    </w:p>
    <w:p>
      <w:pPr>
        <w:snapToGrid w:val="0"/>
        <w:spacing w:line="640" w:lineRule="exact"/>
        <w:rPr>
          <w:rFonts w:hint="eastAsia" w:ascii="仿宋_GB2312"/>
          <w:b/>
          <w:snapToGrid w:val="0"/>
          <w:spacing w:val="0"/>
          <w:kern w:val="0"/>
        </w:rPr>
      </w:pPr>
      <w:r>
        <w:rPr>
          <w:rFonts w:hint="eastAsia" w:ascii="仿宋_GB2312"/>
          <w:b/>
          <w:snapToGrid w:val="0"/>
          <w:spacing w:val="0"/>
          <w:kern w:val="0"/>
        </w:rPr>
        <w:t>5.4质量保证体系建设</w:t>
      </w:r>
    </w:p>
    <w:p>
      <w:pPr>
        <w:snapToGrid w:val="0"/>
        <w:spacing w:line="640" w:lineRule="exact"/>
        <w:ind w:firstLine="632" w:firstLineChars="200"/>
        <w:rPr>
          <w:rFonts w:hint="eastAsia" w:ascii="仿宋_GB2312"/>
        </w:rPr>
      </w:pPr>
      <w:r>
        <w:rPr>
          <w:rFonts w:hint="eastAsia" w:ascii="仿宋_GB2312"/>
        </w:rPr>
        <w:t>在现代职业教育的新常态下，我们确立了“两个并举”、“两个并重”的办学新思路，稳妥解决好坚守与开拓，传承与创新的关系，明确了升学与就业合而为一，相辅相成的关系，确立了基础学科和专业技能同等重要的理念，只有齐头并进，才能培养出高素质技能型人才。</w:t>
      </w:r>
    </w:p>
    <w:p>
      <w:pPr>
        <w:snapToGrid w:val="0"/>
        <w:spacing w:line="640" w:lineRule="exact"/>
        <w:ind w:firstLine="316" w:firstLineChars="100"/>
        <w:rPr>
          <w:rFonts w:hint="eastAsia" w:ascii="仿宋_GB2312"/>
        </w:rPr>
      </w:pPr>
      <w:r>
        <w:rPr>
          <w:rFonts w:hint="eastAsia" w:ascii="仿宋_GB2312"/>
        </w:rPr>
        <w:t>（一）抓管理，促质量</w:t>
      </w:r>
    </w:p>
    <w:p>
      <w:pPr>
        <w:snapToGrid w:val="0"/>
        <w:spacing w:line="640" w:lineRule="exact"/>
        <w:ind w:firstLine="632" w:firstLineChars="200"/>
        <w:rPr>
          <w:rFonts w:hint="eastAsia" w:ascii="仿宋_GB2312"/>
        </w:rPr>
      </w:pPr>
      <w:r>
        <w:rPr>
          <w:rFonts w:hint="eastAsia" w:ascii="仿宋_GB2312"/>
        </w:rPr>
        <w:t>1、主导思想</w:t>
      </w:r>
    </w:p>
    <w:p>
      <w:pPr>
        <w:snapToGrid w:val="0"/>
        <w:spacing w:line="640" w:lineRule="exact"/>
        <w:ind w:firstLine="474" w:firstLineChars="150"/>
        <w:rPr>
          <w:rFonts w:hint="eastAsia" w:ascii="仿宋_GB2312"/>
        </w:rPr>
      </w:pPr>
      <w:r>
        <w:rPr>
          <w:rFonts w:hint="eastAsia" w:ascii="仿宋_GB2312"/>
        </w:rPr>
        <w:t>“一主两翼”，一主：学校，两翼：政教、教务；即：政教和教务要在学校统一管理下，形成一主两翼的默契合作，共同设计和完成学生成人成才的双重任务。政教处会同教务处制定好涉及学生学习、生活、纪律、安全等方面的一日常规要求，确保学生在校期间快乐生活，全面发展，健康成长。</w:t>
      </w:r>
    </w:p>
    <w:p>
      <w:pPr>
        <w:snapToGrid w:val="0"/>
        <w:spacing w:line="640" w:lineRule="exact"/>
        <w:ind w:firstLine="632" w:firstLineChars="200"/>
        <w:rPr>
          <w:rFonts w:hint="eastAsia" w:ascii="仿宋_GB2312"/>
        </w:rPr>
      </w:pPr>
      <w:r>
        <w:rPr>
          <w:rFonts w:hint="eastAsia" w:ascii="仿宋_GB2312"/>
        </w:rPr>
        <w:t>2、重制度，严管理</w:t>
      </w:r>
    </w:p>
    <w:p>
      <w:pPr>
        <w:snapToGrid w:val="0"/>
        <w:spacing w:line="640" w:lineRule="exact"/>
        <w:ind w:firstLine="632" w:firstLineChars="200"/>
        <w:rPr>
          <w:rFonts w:hint="eastAsia" w:ascii="仿宋_GB2312"/>
        </w:rPr>
      </w:pPr>
      <w:r>
        <w:rPr>
          <w:rFonts w:hint="eastAsia" w:ascii="仿宋_GB2312"/>
        </w:rPr>
        <w:t>学期开学初，教务处根据国家指导性教学文件，结合学校各专业实际及要求，制定切实可行的专业实施性教学计划，编制校历、学期教学进程表、课程表、教学任务书；每位老师制定相应的授课计划、班级日志、教学日志齐全、规范；每月检查学生作业，教师教案、有相应的记录；每天教务处有相应的课堂教学日常巡查记录；建立排课、调课、代课及停课制度，教学管理基本能够做到有计划，有安排，有检查，有总结，有评比。</w:t>
      </w:r>
    </w:p>
    <w:p>
      <w:pPr>
        <w:snapToGrid w:val="0"/>
        <w:spacing w:line="640" w:lineRule="exact"/>
        <w:ind w:firstLine="632" w:firstLineChars="200"/>
        <w:rPr>
          <w:rFonts w:hint="eastAsia" w:ascii="仿宋_GB2312"/>
        </w:rPr>
      </w:pPr>
      <w:r>
        <w:rPr>
          <w:rFonts w:hint="eastAsia" w:ascii="仿宋_GB2312"/>
        </w:rPr>
        <w:t>3、注重班主任建设</w:t>
      </w:r>
    </w:p>
    <w:p>
      <w:pPr>
        <w:snapToGrid w:val="0"/>
        <w:spacing w:line="640" w:lineRule="exact"/>
        <w:ind w:firstLine="632" w:firstLineChars="200"/>
        <w:rPr>
          <w:rFonts w:hint="eastAsia" w:ascii="仿宋_GB2312"/>
        </w:rPr>
      </w:pPr>
      <w:r>
        <w:rPr>
          <w:rFonts w:hint="eastAsia" w:ascii="仿宋_GB2312"/>
        </w:rPr>
        <w:t>班主任重点培养学生良好品质的形成，素养的提升和习惯的养成，持之以恒地关注学生的学习心理、学习习惯、学业状态。帮助和指导学生勤学、善思苦练。学校政教处特别重视班主任建设，要求班主任每周抓好班会，班会要紧紧围绕班级建设、学生思想教育、学生成人成才等主题开展，同时紧抓班主任学习日，通过学习培训、经验交流，观看全国职业院校中等职业学校班主任能力大赛优秀班主任作品等形式，提高全体班主任班级建设能力，班级管理水平。</w:t>
      </w:r>
    </w:p>
    <w:p>
      <w:pPr>
        <w:snapToGrid w:val="0"/>
        <w:spacing w:line="640" w:lineRule="exact"/>
        <w:rPr>
          <w:rFonts w:hint="eastAsia" w:ascii="仿宋_GB2312"/>
        </w:rPr>
      </w:pPr>
      <w:r>
        <w:rPr>
          <w:rFonts w:hint="eastAsia" w:ascii="仿宋_GB2312"/>
        </w:rPr>
        <w:t>（二）抓学生，提质量</w:t>
      </w:r>
    </w:p>
    <w:p>
      <w:pPr>
        <w:snapToGrid w:val="0"/>
        <w:spacing w:line="640" w:lineRule="exact"/>
        <w:ind w:firstLine="474" w:firstLineChars="150"/>
        <w:rPr>
          <w:rFonts w:hint="eastAsia" w:ascii="仿宋_GB2312"/>
        </w:rPr>
      </w:pPr>
      <w:r>
        <w:rPr>
          <w:rFonts w:hint="eastAsia" w:ascii="仿宋_GB2312"/>
        </w:rPr>
        <w:t>1、学生素养的养成。</w:t>
      </w:r>
    </w:p>
    <w:p>
      <w:pPr>
        <w:snapToGrid w:val="0"/>
        <w:spacing w:line="640" w:lineRule="exact"/>
        <w:ind w:firstLine="474" w:firstLineChars="150"/>
        <w:rPr>
          <w:rFonts w:hint="eastAsia" w:ascii="仿宋_GB2312"/>
        </w:rPr>
      </w:pPr>
      <w:r>
        <w:rPr>
          <w:rFonts w:hint="eastAsia" w:ascii="仿宋_GB2312"/>
        </w:rPr>
        <w:t>学校贯彻党的教育方针，坚持立德树人，把素质教育贯穿于教育教学工作的各个环节，制定有创新、有特色的素质教育行动方案。坚持以人为本，面向每一位学生，促进学生全面发展、特长发展，注重培养学生社会责任感、创新精神和实践能力，形成全方位的素质教育正确导向。</w:t>
      </w:r>
    </w:p>
    <w:p>
      <w:pPr>
        <w:snapToGrid w:val="0"/>
        <w:spacing w:line="640" w:lineRule="exact"/>
        <w:ind w:firstLine="632" w:firstLineChars="200"/>
        <w:rPr>
          <w:rFonts w:hint="eastAsia" w:ascii="仿宋_GB2312"/>
        </w:rPr>
      </w:pPr>
      <w:r>
        <w:rPr>
          <w:rFonts w:hint="eastAsia" w:ascii="仿宋_GB2312"/>
        </w:rPr>
        <w:t xml:space="preserve">学校要求各任课教师要坚持以课堂为主渠道，以课程为重要载体，通过课程形式和课堂渠道，挖掘各种课程、各类课堂和教学方式中蕴含的思想政治教育资源进行教育教学活动，以培养学生正确的人生观、价值观、就业观为重点，以提高学生综合素质和职业能力为目标，如同春风化雨润物无声，实现思想和价值引领，实现立德树人的目的。 </w:t>
      </w:r>
    </w:p>
    <w:p>
      <w:pPr>
        <w:snapToGrid w:val="0"/>
        <w:spacing w:line="640" w:lineRule="exact"/>
        <w:ind w:firstLine="474" w:firstLineChars="150"/>
        <w:rPr>
          <w:rFonts w:hint="eastAsia" w:ascii="仿宋_GB2312"/>
        </w:rPr>
      </w:pPr>
      <w:r>
        <w:rPr>
          <w:rFonts w:hint="eastAsia" w:ascii="仿宋_GB2312"/>
        </w:rPr>
        <w:t xml:space="preserve">2、夯实双基常态化，持之以恒成习惯 </w:t>
      </w:r>
    </w:p>
    <w:p>
      <w:pPr>
        <w:snapToGrid w:val="0"/>
        <w:spacing w:line="640" w:lineRule="exact"/>
        <w:ind w:firstLine="474" w:firstLineChars="150"/>
        <w:rPr>
          <w:rFonts w:hint="eastAsia" w:ascii="仿宋_GB2312"/>
        </w:rPr>
      </w:pPr>
      <w:r>
        <w:rPr>
          <w:rFonts w:hint="eastAsia" w:ascii="仿宋_GB2312"/>
        </w:rPr>
        <w:t>在学生“双基”能力培养上，我校的主导思想是“学没学，懂没懂，会不会，做没做，改没改”。真正把夯实双基工作落到实处，就是向课堂要质量，以学生学习效果评价教学效果，让每位教师持之以恒的坚持下去，在不断积淀的过程逐渐提高教学质量。</w:t>
      </w:r>
    </w:p>
    <w:p>
      <w:pPr>
        <w:snapToGrid w:val="0"/>
        <w:spacing w:line="640" w:lineRule="exact"/>
        <w:ind w:firstLine="474" w:firstLineChars="150"/>
        <w:rPr>
          <w:rFonts w:hint="eastAsia" w:ascii="仿宋_GB2312"/>
        </w:rPr>
      </w:pPr>
      <w:r>
        <w:rPr>
          <w:rFonts w:hint="eastAsia" w:ascii="仿宋_GB2312"/>
        </w:rPr>
        <w:t>（三）抓教师，保质量</w:t>
      </w:r>
    </w:p>
    <w:p>
      <w:pPr>
        <w:snapToGrid w:val="0"/>
        <w:spacing w:line="640" w:lineRule="exact"/>
        <w:ind w:firstLine="632" w:firstLineChars="200"/>
        <w:rPr>
          <w:rFonts w:hint="eastAsia" w:ascii="仿宋_GB2312"/>
        </w:rPr>
      </w:pPr>
      <w:r>
        <w:rPr>
          <w:rFonts w:hint="eastAsia" w:ascii="仿宋_GB2312"/>
        </w:rPr>
        <w:t>1、注重教师教育理念、教学基本功，教学方法的培训与学习。</w:t>
      </w:r>
    </w:p>
    <w:p>
      <w:pPr>
        <w:snapToGrid w:val="0"/>
        <w:spacing w:line="640" w:lineRule="exact"/>
        <w:rPr>
          <w:rFonts w:hint="eastAsia" w:ascii="仿宋_GB2312"/>
        </w:rPr>
      </w:pPr>
      <w:r>
        <w:rPr>
          <w:rFonts w:hint="eastAsia" w:ascii="仿宋_GB2312"/>
        </w:rPr>
        <w:t>学校特别注重教师教学水平，业务能力的提升，通过开展教学示范课活动、教学能力比赛培训、公共基础课新课标培训、国家新版专业目录解读培训、国培、省培，特别是今年春季学期围绕学习新《职业教育法》、渭南市中等职业教育公共课程新课标培训、暑假期间参加2022年暑期教师研修培训，通过这些培训活动，有力地促进了教师教育理念、教学水平、业务能力的提升。</w:t>
      </w:r>
    </w:p>
    <w:p>
      <w:pPr>
        <w:snapToGrid w:val="0"/>
        <w:spacing w:line="640" w:lineRule="exact"/>
        <w:ind w:firstLine="474" w:firstLineChars="150"/>
        <w:rPr>
          <w:rFonts w:hint="eastAsia" w:ascii="仿宋_GB2312"/>
        </w:rPr>
      </w:pPr>
      <w:r>
        <w:rPr>
          <w:rFonts w:hint="eastAsia" w:ascii="仿宋_GB2312"/>
        </w:rPr>
        <w:t>2、注重“五课”教研活动开展。</w:t>
      </w:r>
    </w:p>
    <w:p>
      <w:pPr>
        <w:snapToGrid w:val="0"/>
        <w:spacing w:line="640" w:lineRule="exact"/>
        <w:ind w:firstLine="632" w:firstLineChars="200"/>
        <w:rPr>
          <w:rFonts w:hint="eastAsia" w:ascii="仿宋_GB2312"/>
        </w:rPr>
      </w:pPr>
      <w:r>
        <w:rPr>
          <w:rFonts w:hint="eastAsia" w:ascii="仿宋_GB2312"/>
        </w:rPr>
        <w:t>学校今年以“五课”教研活动为主线，坚持每周三开展教研活动。围绕“设计一堂课、说好一堂课、上好一堂课、评析一堂课，反思一堂课”扎实开展教研活动，破解新课标下学科核心素养如何落实难题。如针对教学示范课活动开展了听课评教活动，以此研讨如何听课、如何评课；针对教学能力比赛开展了教学设计是什么，如何做好教学设计研讨活动；针对学生期中考试成绩，进行了所有科目质量分析研讨会，通过学生成绩分析，查找教学中存在的问题，寻求问题的根源，探讨解决问题的办法，以此要求教师在以后的教育教学中力求改变教学方法，改进教学策略，进而提高教育教学质量。</w:t>
      </w:r>
    </w:p>
    <w:p>
      <w:pPr>
        <w:snapToGrid w:val="0"/>
        <w:spacing w:line="640" w:lineRule="exact"/>
        <w:ind w:firstLine="632" w:firstLineChars="200"/>
        <w:rPr>
          <w:rFonts w:hint="eastAsia" w:ascii="仿宋_GB2312"/>
        </w:rPr>
      </w:pPr>
      <w:r>
        <w:rPr>
          <w:rFonts w:hint="eastAsia" w:ascii="仿宋_GB2312"/>
        </w:rPr>
        <w:t>3、扎实推进专业教学改革，深化以“教师、教材、教法”为核心的“三教”改革。学校今年依托渭南市中职学校第二届教学质量研讨活动为契机，先后组织相关学科教师参与了华州区职业教育中心、蒲城县职业教育中心两次教学研讨活动，学习兄弟学校教学改革成功经验，深化我校教育教学改革，力求在教师结构、教材结构、教法运用上有新的突破。</w:t>
      </w:r>
    </w:p>
    <w:p>
      <w:pPr>
        <w:snapToGrid w:val="0"/>
        <w:spacing w:line="640" w:lineRule="exact"/>
        <w:rPr>
          <w:rFonts w:hint="eastAsia" w:ascii="仿宋_GB2312"/>
          <w:b/>
          <w:snapToGrid w:val="0"/>
          <w:spacing w:val="0"/>
          <w:kern w:val="0"/>
        </w:rPr>
      </w:pPr>
      <w:r>
        <w:rPr>
          <w:rFonts w:hint="eastAsia" w:ascii="仿宋_GB2312"/>
          <w:b/>
          <w:snapToGrid w:val="0"/>
          <w:spacing w:val="0"/>
          <w:kern w:val="0"/>
        </w:rPr>
        <w:t>5.5经费投入</w:t>
      </w:r>
    </w:p>
    <w:p>
      <w:pPr>
        <w:snapToGrid w:val="0"/>
        <w:spacing w:line="640" w:lineRule="exact"/>
        <w:ind w:firstLine="474" w:firstLineChars="150"/>
        <w:rPr>
          <w:rFonts w:hint="eastAsia" w:ascii="仿宋_GB2312" w:hAnsi="仿宋_GB2312" w:cs="仿宋_GB2312"/>
        </w:rPr>
      </w:pPr>
      <w:r>
        <w:rPr>
          <w:rFonts w:hint="eastAsia" w:ascii="仿宋_GB2312" w:hAnsi="仿宋_GB2312" w:cs="仿宋_GB2312"/>
        </w:rPr>
        <w:t xml:space="preserve">渭南西北新世纪职业中等专业学校是一所民办中职学校，政策性经费唯一的来源是国家拨付免学费补助，2021年9月-2022年8月共拨付免学费201.76万元，不足部分从学生收取，生均经费5300元。 </w:t>
      </w:r>
    </w:p>
    <w:p>
      <w:pPr>
        <w:snapToGrid w:val="0"/>
        <w:spacing w:line="640" w:lineRule="exact"/>
        <w:rPr>
          <w:rFonts w:hint="eastAsia" w:ascii="仿宋_GB2312"/>
          <w:b/>
          <w:bCs/>
          <w:snapToGrid w:val="0"/>
          <w:spacing w:val="0"/>
          <w:kern w:val="0"/>
        </w:rPr>
      </w:pPr>
      <w:r>
        <w:rPr>
          <w:rFonts w:hint="eastAsia" w:ascii="仿宋_GB2312"/>
          <w:b/>
          <w:bCs/>
          <w:snapToGrid w:val="0"/>
          <w:spacing w:val="0"/>
          <w:kern w:val="0"/>
        </w:rPr>
        <w:t>6 面临挑战</w:t>
      </w:r>
    </w:p>
    <w:p>
      <w:pPr>
        <w:snapToGrid w:val="0"/>
        <w:spacing w:line="640" w:lineRule="exact"/>
        <w:ind w:firstLine="640" w:firstLineChars="200"/>
        <w:rPr>
          <w:rFonts w:hint="eastAsia" w:ascii="仿宋_GB2312" w:hAnsi="仿宋_GB2312" w:cs="仿宋_GB2312"/>
        </w:rPr>
      </w:pPr>
      <w:r>
        <w:rPr>
          <w:rFonts w:hint="eastAsia" w:ascii="仿宋_GB2312"/>
          <w:snapToGrid w:val="0"/>
          <w:spacing w:val="0"/>
          <w:kern w:val="0"/>
        </w:rPr>
        <w:t>挑战1：</w:t>
      </w:r>
      <w:r>
        <w:rPr>
          <w:rFonts w:hint="eastAsia" w:ascii="仿宋_GB2312"/>
        </w:rPr>
        <w:t>专业教师补充、引进难。解决办法是：</w:t>
      </w:r>
      <w:r>
        <w:rPr>
          <w:rFonts w:hint="eastAsia" w:ascii="仿宋_GB2312" w:hAnsi="仿宋_GB2312" w:cs="仿宋_GB2312"/>
        </w:rPr>
        <w:t>一是继续加大专业教师引进力度，提升引进有实践经验专业教师待遇，吸引更多更好的专业人才充实专业教师队伍；二是按照企业岗位操作要求，规范，有计划，有针对性安排现有专业教师到企业进行顶岗挂职，，打造“双师结构”教师团队，；三是加大专业教师培训力度，充分利用国培、省培平台，提升教师专业素养。</w:t>
      </w:r>
    </w:p>
    <w:p>
      <w:pPr>
        <w:snapToGrid w:val="0"/>
        <w:spacing w:line="640" w:lineRule="exact"/>
        <w:ind w:firstLine="640" w:firstLineChars="200"/>
        <w:rPr>
          <w:rFonts w:hint="eastAsia" w:ascii="仿宋_GB2312" w:hAnsi="仿宋_GB2312" w:cs="仿宋_GB2312"/>
        </w:rPr>
      </w:pPr>
      <w:r>
        <w:rPr>
          <w:rFonts w:hint="eastAsia" w:ascii="仿宋_GB2312"/>
          <w:snapToGrid w:val="0"/>
          <w:spacing w:val="0"/>
          <w:kern w:val="0"/>
        </w:rPr>
        <w:t>挑战2：专业特色不够鲜明，吸引力不强。解决办法是：一是聚焦产业精准对接调整专业人才培养方案，使人才培养更具针对性、适应性</w:t>
      </w:r>
      <w:r>
        <w:rPr>
          <w:rFonts w:hint="eastAsia" w:ascii="仿宋_GB2312" w:hAnsi="仿宋_GB2312" w:cs="仿宋_GB2312"/>
        </w:rPr>
        <w:t>。三是加大实训设施设备投入力度，提高实训条件。三是推进校企合作，产教融合走深走实。</w:t>
      </w:r>
    </w:p>
    <w:p>
      <w:pPr>
        <w:snapToGrid w:val="0"/>
        <w:spacing w:line="640" w:lineRule="exact"/>
        <w:ind w:firstLine="632" w:firstLineChars="200"/>
        <w:rPr>
          <w:rFonts w:hint="eastAsia" w:ascii="仿宋_GB2312"/>
        </w:rPr>
      </w:pPr>
      <w:r>
        <w:rPr>
          <w:rFonts w:hint="eastAsia" w:ascii="仿宋_GB2312"/>
        </w:rPr>
        <w:t>全体教师认真领会党的“二十大”报告提出今后职业教育发展方向：“统筹职业教育、高等教育、继续教育协同创新，推进职普融通、产教融合、科教融汇，优化职业教育类型定位”。牢记“办好人民满意教育”的使命，精诚团结、悉心教学、关爱学生，精益求精、乐于奉献，尽心尽力培养更多高素质技能型人才。</w:t>
      </w:r>
    </w:p>
    <w:p>
      <w:pPr>
        <w:ind w:firstLine="3002" w:firstLineChars="950"/>
        <w:rPr>
          <w:rFonts w:hint="eastAsia" w:ascii="仿宋_GB2312"/>
        </w:rPr>
      </w:pPr>
    </w:p>
    <w:p>
      <w:pPr>
        <w:ind w:firstLine="3002" w:firstLineChars="950"/>
        <w:rPr>
          <w:rFonts w:hint="eastAsia" w:ascii="仿宋_GB2312"/>
        </w:rPr>
      </w:pPr>
    </w:p>
    <w:p>
      <w:pPr>
        <w:ind w:firstLine="3002" w:firstLineChars="950"/>
        <w:rPr>
          <w:rFonts w:hint="eastAsia" w:ascii="仿宋_GB2312"/>
        </w:rPr>
      </w:pPr>
    </w:p>
    <w:p>
      <w:pPr>
        <w:ind w:firstLine="3160" w:firstLineChars="1000"/>
        <w:rPr>
          <w:rFonts w:hint="eastAsia" w:ascii="仿宋_GB2312"/>
        </w:rPr>
      </w:pPr>
      <w:r>
        <w:rPr>
          <w:rFonts w:hint="eastAsia" w:ascii="仿宋_GB2312"/>
        </w:rPr>
        <w:t>渭南西北新世纪职业中等专业学校</w:t>
      </w:r>
    </w:p>
    <w:p>
      <w:pPr>
        <w:ind w:firstLine="3634" w:firstLineChars="1150"/>
        <w:rPr>
          <w:rFonts w:hint="eastAsia" w:ascii="仿宋_GB2312"/>
        </w:rPr>
      </w:pPr>
    </w:p>
    <w:p>
      <w:pPr>
        <w:ind w:firstLine="3634" w:firstLineChars="1150"/>
        <w:rPr>
          <w:rFonts w:hint="eastAsia" w:ascii="仿宋_GB2312"/>
        </w:rPr>
      </w:pPr>
    </w:p>
    <w:p>
      <w:pPr>
        <w:ind w:firstLine="3634" w:firstLineChars="1150"/>
        <w:rPr>
          <w:rFonts w:hint="eastAsia" w:ascii="仿宋_GB2312" w:hAnsi="仿宋_GB2312" w:cs="仿宋_GB2312"/>
        </w:rPr>
      </w:pPr>
      <w:r>
        <w:rPr>
          <w:rFonts w:hint="eastAsia" w:ascii="仿宋_GB2312"/>
        </w:rPr>
        <w:t>二</w:t>
      </w:r>
      <w:r>
        <w:rPr>
          <w:rFonts w:hint="eastAsia" w:ascii="仿宋_GB2312" w:hAnsi="宋体" w:eastAsia="宋体" w:cs="宋体"/>
        </w:rPr>
        <w:t>〇</w:t>
      </w:r>
      <w:r>
        <w:rPr>
          <w:rFonts w:hint="eastAsia" w:ascii="仿宋_GB2312" w:hAnsi="仿宋_GB2312" w:cs="仿宋_GB2312"/>
        </w:rPr>
        <w:t>二二年十二月二十日</w:t>
      </w:r>
    </w:p>
    <w:p>
      <w:pPr>
        <w:pStyle w:val="2"/>
        <w:rPr>
          <w:rFonts w:hint="eastAsia" w:ascii="仿宋_GB2312" w:hAnsi="仿宋_GB2312" w:cs="仿宋_GB2312"/>
        </w:rPr>
      </w:pPr>
    </w:p>
    <w:p>
      <w:pPr>
        <w:rPr>
          <w:rFonts w:hint="eastAsia" w:ascii="仿宋_GB2312" w:hAnsi="仿宋_GB2312" w:cs="仿宋_GB2312"/>
        </w:rPr>
      </w:pPr>
    </w:p>
    <w:p>
      <w:pPr>
        <w:jc w:val="center"/>
        <w:outlineLvl w:val="2"/>
        <w:rPr>
          <w:rFonts w:hint="eastAsia" w:ascii="仿宋_GB2312" w:hAnsi="仿宋_GB2312" w:eastAsia="仿宋_GB2312" w:cs="仿宋_GB2312"/>
          <w:b/>
          <w:bCs/>
          <w:snapToGrid w:val="0"/>
          <w:color w:val="000000"/>
          <w:kern w:val="0"/>
          <w:sz w:val="32"/>
          <w:szCs w:val="32"/>
        </w:rPr>
      </w:pPr>
      <w:r>
        <w:rPr>
          <w:rFonts w:hint="eastAsia" w:ascii="仿宋_GB2312" w:hAnsi="仿宋_GB2312" w:eastAsia="仿宋_GB2312" w:cs="仿宋_GB2312"/>
          <w:b/>
          <w:bCs/>
          <w:snapToGrid w:val="0"/>
          <w:color w:val="000000"/>
          <w:kern w:val="0"/>
          <w:sz w:val="32"/>
          <w:szCs w:val="32"/>
        </w:rPr>
        <w:t>表1  中等职业教育质量数据表</w:t>
      </w:r>
    </w:p>
    <w:p>
      <w:pPr>
        <w:ind w:firstLine="179" w:firstLineChars="65"/>
        <w:jc w:val="left"/>
        <w:outlineLvl w:val="3"/>
        <w:rPr>
          <w:rFonts w:hint="eastAsia" w:ascii="Nimbus Roman" w:hAnsi="Nimbus Roman" w:cs="Nimbus Roman"/>
          <w:color w:val="000000"/>
          <w:sz w:val="28"/>
          <w:szCs w:val="28"/>
        </w:rPr>
      </w:pPr>
      <w:r>
        <w:rPr>
          <w:rFonts w:ascii="Nimbus Roman" w:hAnsi="Nimbus Roman" w:cs="Nimbus Roman"/>
          <w:color w:val="000000"/>
          <w:sz w:val="28"/>
          <w:szCs w:val="28"/>
        </w:rPr>
        <w:t>名称：</w:t>
      </w:r>
      <w:r>
        <w:rPr>
          <w:rFonts w:hint="eastAsia" w:ascii="Nimbus Roman" w:hAnsi="Nimbus Roman" w:cs="Nimbus Roman"/>
          <w:color w:val="000000"/>
          <w:sz w:val="28"/>
          <w:szCs w:val="28"/>
        </w:rPr>
        <w:t>渭南西北新世纪职业中等专业学校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4768"/>
        <w:gridCol w:w="834"/>
        <w:gridCol w:w="1170"/>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blHeader/>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序号</w:t>
            </w:r>
          </w:p>
        </w:tc>
        <w:tc>
          <w:tcPr>
            <w:tcW w:w="4768" w:type="dxa"/>
            <w:noWrap w:val="0"/>
            <w:vAlign w:val="center"/>
          </w:tcPr>
          <w:p>
            <w:pPr>
              <w:adjustRightInd w:val="0"/>
              <w:snapToGrid w:val="0"/>
              <w:jc w:val="center"/>
              <w:outlineLvl w:val="1"/>
              <w:rPr>
                <w:color w:val="000000"/>
                <w:kern w:val="0"/>
                <w:szCs w:val="21"/>
              </w:rPr>
            </w:pPr>
            <w:r>
              <w:rPr>
                <w:color w:val="000000"/>
                <w:kern w:val="0"/>
                <w:szCs w:val="21"/>
              </w:rPr>
              <w:t>指标</w:t>
            </w:r>
          </w:p>
        </w:tc>
        <w:tc>
          <w:tcPr>
            <w:tcW w:w="834" w:type="dxa"/>
            <w:noWrap w:val="0"/>
            <w:vAlign w:val="center"/>
          </w:tcPr>
          <w:p>
            <w:pPr>
              <w:adjustRightInd w:val="0"/>
              <w:snapToGrid w:val="0"/>
              <w:jc w:val="center"/>
              <w:outlineLvl w:val="1"/>
              <w:rPr>
                <w:color w:val="000000"/>
                <w:kern w:val="0"/>
                <w:szCs w:val="21"/>
              </w:rPr>
            </w:pPr>
            <w:r>
              <w:rPr>
                <w:color w:val="000000"/>
                <w:kern w:val="0"/>
                <w:szCs w:val="21"/>
              </w:rPr>
              <w:t>单位</w:t>
            </w:r>
          </w:p>
        </w:tc>
        <w:tc>
          <w:tcPr>
            <w:tcW w:w="1170" w:type="dxa"/>
            <w:noWrap w:val="0"/>
            <w:vAlign w:val="center"/>
          </w:tcPr>
          <w:p>
            <w:pPr>
              <w:adjustRightInd w:val="0"/>
              <w:snapToGrid w:val="0"/>
              <w:jc w:val="center"/>
              <w:outlineLvl w:val="1"/>
              <w:rPr>
                <w:color w:val="000000"/>
                <w:kern w:val="0"/>
                <w:szCs w:val="21"/>
              </w:rPr>
            </w:pPr>
            <w:r>
              <w:rPr>
                <w:color w:val="000000"/>
                <w:kern w:val="0"/>
                <w:szCs w:val="21"/>
              </w:rPr>
              <w:t>2022年</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1</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思政课程教师数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5</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2</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德育工作人员数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6</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3</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班主任数</w:t>
            </w:r>
          </w:p>
        </w:tc>
        <w:tc>
          <w:tcPr>
            <w:tcW w:w="834" w:type="dxa"/>
            <w:noWrap w:val="0"/>
            <w:vAlign w:val="center"/>
          </w:tcPr>
          <w:p>
            <w:pPr>
              <w:widowControl/>
              <w:adjustRightInd w:val="0"/>
              <w:snapToGrid w:val="0"/>
              <w:jc w:val="center"/>
              <w:textAlignment w:val="center"/>
              <w:rPr>
                <w:color w:val="000000"/>
                <w:kern w:val="0"/>
                <w:szCs w:val="21"/>
              </w:rPr>
            </w:pPr>
            <w:r>
              <w:rPr>
                <w:rStyle w:val="13"/>
                <w:rFonts w:hint="default"/>
                <w:color w:val="000000"/>
                <w:kern w:val="0"/>
                <w:sz w:val="21"/>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27</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restart"/>
            <w:noWrap w:val="0"/>
            <w:vAlign w:val="center"/>
          </w:tcPr>
          <w:p>
            <w:pPr>
              <w:adjustRightInd w:val="0"/>
              <w:snapToGrid w:val="0"/>
              <w:jc w:val="center"/>
              <w:outlineLvl w:val="1"/>
              <w:rPr>
                <w:color w:val="000000"/>
                <w:kern w:val="0"/>
                <w:szCs w:val="21"/>
              </w:rPr>
            </w:pPr>
            <w:r>
              <w:rPr>
                <w:color w:val="000000"/>
                <w:kern w:val="0"/>
                <w:szCs w:val="21"/>
              </w:rPr>
              <w:t>4</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德育活动学生参与数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24688</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noWrap w:val="0"/>
            <w:vAlign w:val="center"/>
          </w:tcPr>
          <w:p>
            <w:pPr>
              <w:adjustRightInd w:val="0"/>
              <w:snapToGrid w:val="0"/>
              <w:jc w:val="center"/>
              <w:outlineLvl w:val="1"/>
              <w:rPr>
                <w:color w:val="000000"/>
                <w:kern w:val="0"/>
                <w:szCs w:val="21"/>
              </w:rPr>
            </w:pP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其中：国家级</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noWrap w:val="0"/>
            <w:vAlign w:val="center"/>
          </w:tcPr>
          <w:p>
            <w:pPr>
              <w:adjustRightInd w:val="0"/>
              <w:snapToGrid w:val="0"/>
              <w:jc w:val="center"/>
              <w:outlineLvl w:val="1"/>
              <w:rPr>
                <w:color w:val="000000"/>
                <w:kern w:val="0"/>
                <w:szCs w:val="21"/>
              </w:rPr>
            </w:pPr>
          </w:p>
        </w:tc>
        <w:tc>
          <w:tcPr>
            <w:tcW w:w="4768" w:type="dxa"/>
            <w:noWrap w:val="0"/>
            <w:vAlign w:val="center"/>
          </w:tcPr>
          <w:p>
            <w:pPr>
              <w:widowControl/>
              <w:adjustRightInd w:val="0"/>
              <w:snapToGrid w:val="0"/>
              <w:ind w:firstLine="618" w:firstLineChars="300"/>
              <w:jc w:val="center"/>
              <w:textAlignment w:val="center"/>
              <w:rPr>
                <w:color w:val="000000"/>
                <w:kern w:val="0"/>
                <w:szCs w:val="21"/>
              </w:rPr>
            </w:pPr>
            <w:r>
              <w:rPr>
                <w:rStyle w:val="14"/>
                <w:rFonts w:hint="default" w:ascii="Times New Roman" w:hAnsi="Times New Roman" w:cs="Times New Roman"/>
                <w:b w:val="0"/>
                <w:bCs w:val="0"/>
                <w:kern w:val="0"/>
                <w:sz w:val="21"/>
                <w:szCs w:val="21"/>
              </w:rPr>
              <w:t>省级</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noWrap w:val="0"/>
            <w:vAlign w:val="center"/>
          </w:tcPr>
          <w:p>
            <w:pPr>
              <w:adjustRightInd w:val="0"/>
              <w:snapToGrid w:val="0"/>
              <w:jc w:val="center"/>
              <w:outlineLvl w:val="1"/>
              <w:rPr>
                <w:color w:val="000000"/>
                <w:kern w:val="0"/>
                <w:szCs w:val="21"/>
              </w:rPr>
            </w:pPr>
          </w:p>
        </w:tc>
        <w:tc>
          <w:tcPr>
            <w:tcW w:w="4768" w:type="dxa"/>
            <w:noWrap w:val="0"/>
            <w:vAlign w:val="center"/>
          </w:tcPr>
          <w:p>
            <w:pPr>
              <w:widowControl/>
              <w:adjustRightInd w:val="0"/>
              <w:snapToGrid w:val="0"/>
              <w:ind w:firstLine="618" w:firstLineChars="300"/>
              <w:jc w:val="center"/>
              <w:textAlignment w:val="center"/>
              <w:rPr>
                <w:color w:val="000000"/>
                <w:kern w:val="0"/>
                <w:szCs w:val="21"/>
              </w:rPr>
            </w:pPr>
            <w:r>
              <w:rPr>
                <w:rStyle w:val="14"/>
                <w:rFonts w:hint="default" w:ascii="Times New Roman" w:hAnsi="Times New Roman" w:cs="Times New Roman"/>
                <w:b w:val="0"/>
                <w:bCs w:val="0"/>
                <w:kern w:val="0"/>
                <w:sz w:val="21"/>
                <w:szCs w:val="21"/>
              </w:rPr>
              <w:t>地市级</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5</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体育课专任教师数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4</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6</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美育课专任教师数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2</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708" w:type="dxa"/>
            <w:vMerge w:val="restart"/>
            <w:noWrap w:val="0"/>
            <w:vAlign w:val="center"/>
          </w:tcPr>
          <w:p>
            <w:pPr>
              <w:adjustRightInd w:val="0"/>
              <w:snapToGrid w:val="0"/>
              <w:jc w:val="center"/>
              <w:outlineLvl w:val="1"/>
              <w:rPr>
                <w:color w:val="000000"/>
                <w:kern w:val="0"/>
                <w:szCs w:val="21"/>
              </w:rPr>
            </w:pPr>
            <w:r>
              <w:rPr>
                <w:color w:val="000000"/>
                <w:kern w:val="0"/>
                <w:szCs w:val="21"/>
              </w:rPr>
              <w:t>7</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升学总人数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386</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708" w:type="dxa"/>
            <w:vMerge w:val="continue"/>
            <w:noWrap w:val="0"/>
            <w:vAlign w:val="center"/>
          </w:tcPr>
          <w:p>
            <w:pPr>
              <w:adjustRightInd w:val="0"/>
              <w:snapToGrid w:val="0"/>
              <w:jc w:val="center"/>
              <w:outlineLvl w:val="1"/>
              <w:rPr>
                <w:color w:val="000000"/>
                <w:kern w:val="0"/>
                <w:szCs w:val="21"/>
              </w:rPr>
            </w:pP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其中：通过贯通培养升学人数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708" w:type="dxa"/>
            <w:vMerge w:val="continue"/>
            <w:noWrap w:val="0"/>
            <w:vAlign w:val="center"/>
          </w:tcPr>
          <w:p>
            <w:pPr>
              <w:adjustRightInd w:val="0"/>
              <w:snapToGrid w:val="0"/>
              <w:jc w:val="center"/>
              <w:outlineLvl w:val="1"/>
              <w:rPr>
                <w:color w:val="000000"/>
                <w:kern w:val="0"/>
                <w:szCs w:val="21"/>
              </w:rPr>
            </w:pPr>
          </w:p>
        </w:tc>
        <w:tc>
          <w:tcPr>
            <w:tcW w:w="4768" w:type="dxa"/>
            <w:noWrap w:val="0"/>
            <w:vAlign w:val="center"/>
          </w:tcPr>
          <w:p>
            <w:pPr>
              <w:widowControl/>
              <w:adjustRightInd w:val="0"/>
              <w:snapToGrid w:val="0"/>
              <w:ind w:firstLine="948" w:firstLineChars="300"/>
              <w:jc w:val="center"/>
              <w:textAlignment w:val="center"/>
              <w:rPr>
                <w:color w:val="000000"/>
                <w:kern w:val="0"/>
                <w:szCs w:val="21"/>
              </w:rPr>
            </w:pPr>
            <w:r>
              <w:rPr>
                <w:color w:val="000000"/>
                <w:kern w:val="0"/>
                <w:szCs w:val="21"/>
              </w:rPr>
              <w:t>通过五年一贯制培养升学人数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708" w:type="dxa"/>
            <w:vMerge w:val="continue"/>
            <w:noWrap w:val="0"/>
            <w:vAlign w:val="center"/>
          </w:tcPr>
          <w:p>
            <w:pPr>
              <w:adjustRightInd w:val="0"/>
              <w:snapToGrid w:val="0"/>
              <w:jc w:val="center"/>
              <w:outlineLvl w:val="1"/>
              <w:rPr>
                <w:color w:val="000000"/>
                <w:kern w:val="0"/>
                <w:szCs w:val="21"/>
              </w:rPr>
            </w:pPr>
          </w:p>
        </w:tc>
        <w:tc>
          <w:tcPr>
            <w:tcW w:w="4768" w:type="dxa"/>
            <w:noWrap w:val="0"/>
            <w:vAlign w:val="center"/>
          </w:tcPr>
          <w:p>
            <w:pPr>
              <w:widowControl/>
              <w:adjustRightInd w:val="0"/>
              <w:snapToGrid w:val="0"/>
              <w:ind w:firstLine="948" w:firstLineChars="300"/>
              <w:jc w:val="center"/>
              <w:textAlignment w:val="center"/>
              <w:rPr>
                <w:color w:val="000000"/>
                <w:kern w:val="0"/>
                <w:szCs w:val="21"/>
              </w:rPr>
            </w:pPr>
            <w:r>
              <w:rPr>
                <w:color w:val="000000"/>
                <w:kern w:val="0"/>
                <w:szCs w:val="21"/>
              </w:rPr>
              <w:t>通过职教高考升学人数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386</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708" w:type="dxa"/>
            <w:vMerge w:val="continue"/>
            <w:noWrap w:val="0"/>
            <w:vAlign w:val="center"/>
          </w:tcPr>
          <w:p>
            <w:pPr>
              <w:adjustRightInd w:val="0"/>
              <w:snapToGrid w:val="0"/>
              <w:jc w:val="center"/>
              <w:outlineLvl w:val="1"/>
              <w:rPr>
                <w:color w:val="000000"/>
                <w:kern w:val="0"/>
                <w:szCs w:val="21"/>
              </w:rPr>
            </w:pPr>
          </w:p>
        </w:tc>
        <w:tc>
          <w:tcPr>
            <w:tcW w:w="4768" w:type="dxa"/>
            <w:noWrap w:val="0"/>
            <w:vAlign w:val="center"/>
          </w:tcPr>
          <w:p>
            <w:pPr>
              <w:widowControl/>
              <w:adjustRightInd w:val="0"/>
              <w:snapToGrid w:val="0"/>
              <w:ind w:firstLine="948" w:firstLineChars="300"/>
              <w:jc w:val="center"/>
              <w:textAlignment w:val="center"/>
              <w:rPr>
                <w:color w:val="000000"/>
                <w:kern w:val="0"/>
                <w:szCs w:val="21"/>
              </w:rPr>
            </w:pPr>
            <w:r>
              <w:rPr>
                <w:color w:val="000000"/>
                <w:kern w:val="0"/>
                <w:szCs w:val="21"/>
              </w:rPr>
              <w:t>升入职业本科人数</w:t>
            </w:r>
          </w:p>
        </w:tc>
        <w:tc>
          <w:tcPr>
            <w:tcW w:w="834" w:type="dxa"/>
            <w:noWrap w:val="0"/>
            <w:vAlign w:val="center"/>
          </w:tcPr>
          <w:p>
            <w:pPr>
              <w:widowControl/>
              <w:adjustRightInd w:val="0"/>
              <w:snapToGrid w:val="0"/>
              <w:jc w:val="center"/>
              <w:textAlignment w:val="center"/>
              <w:rPr>
                <w:color w:val="000000"/>
                <w:kern w:val="0"/>
                <w:szCs w:val="21"/>
              </w:rPr>
            </w:pPr>
            <w:r>
              <w:rPr>
                <w:rStyle w:val="13"/>
                <w:rFonts w:hint="default"/>
                <w:color w:val="000000"/>
                <w:kern w:val="0"/>
                <w:sz w:val="21"/>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7</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708" w:type="dxa"/>
            <w:vMerge w:val="continue"/>
            <w:noWrap w:val="0"/>
            <w:vAlign w:val="center"/>
          </w:tcPr>
          <w:p>
            <w:pPr>
              <w:adjustRightInd w:val="0"/>
              <w:snapToGrid w:val="0"/>
              <w:jc w:val="center"/>
              <w:outlineLvl w:val="1"/>
              <w:rPr>
                <w:color w:val="000000"/>
                <w:kern w:val="0"/>
                <w:szCs w:val="21"/>
              </w:rPr>
            </w:pPr>
          </w:p>
        </w:tc>
        <w:tc>
          <w:tcPr>
            <w:tcW w:w="4768" w:type="dxa"/>
            <w:noWrap w:val="0"/>
            <w:vAlign w:val="center"/>
          </w:tcPr>
          <w:p>
            <w:pPr>
              <w:widowControl/>
              <w:adjustRightInd w:val="0"/>
              <w:snapToGrid w:val="0"/>
              <w:ind w:firstLine="948" w:firstLineChars="300"/>
              <w:jc w:val="center"/>
              <w:textAlignment w:val="center"/>
              <w:rPr>
                <w:color w:val="000000"/>
                <w:kern w:val="0"/>
                <w:szCs w:val="21"/>
              </w:rPr>
            </w:pPr>
            <w:r>
              <w:rPr>
                <w:color w:val="000000"/>
                <w:kern w:val="0"/>
                <w:szCs w:val="21"/>
              </w:rPr>
              <w:t>升入普通本科人数</w:t>
            </w:r>
          </w:p>
        </w:tc>
        <w:tc>
          <w:tcPr>
            <w:tcW w:w="834" w:type="dxa"/>
            <w:noWrap w:val="0"/>
            <w:vAlign w:val="center"/>
          </w:tcPr>
          <w:p>
            <w:pPr>
              <w:adjustRightInd w:val="0"/>
              <w:snapToGrid w:val="0"/>
              <w:jc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3</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708" w:type="dxa"/>
            <w:vMerge w:val="continue"/>
            <w:noWrap w:val="0"/>
            <w:vAlign w:val="center"/>
          </w:tcPr>
          <w:p>
            <w:pPr>
              <w:adjustRightInd w:val="0"/>
              <w:snapToGrid w:val="0"/>
              <w:jc w:val="center"/>
              <w:outlineLvl w:val="1"/>
              <w:rPr>
                <w:color w:val="000000"/>
                <w:kern w:val="0"/>
                <w:szCs w:val="21"/>
              </w:rPr>
            </w:pPr>
          </w:p>
        </w:tc>
        <w:tc>
          <w:tcPr>
            <w:tcW w:w="4768" w:type="dxa"/>
            <w:noWrap w:val="0"/>
            <w:vAlign w:val="center"/>
          </w:tcPr>
          <w:p>
            <w:pPr>
              <w:widowControl/>
              <w:adjustRightInd w:val="0"/>
              <w:snapToGrid w:val="0"/>
              <w:ind w:firstLine="948" w:firstLineChars="300"/>
              <w:jc w:val="center"/>
              <w:textAlignment w:val="center"/>
              <w:rPr>
                <w:color w:val="000000"/>
                <w:kern w:val="0"/>
                <w:szCs w:val="21"/>
              </w:rPr>
            </w:pPr>
            <w:r>
              <w:rPr>
                <w:color w:val="000000"/>
                <w:kern w:val="0"/>
                <w:szCs w:val="21"/>
              </w:rPr>
              <w:t>升入专科人数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376</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8</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全日制在校生数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1395</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9</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专业数量</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个</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8</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10</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课程总量</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门</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243</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11</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参加国家学生体质健康标准测试人数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1479</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12</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学生体质测评合格率</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89.8</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13</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全国职业院校技能大赛学生获奖人数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14</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全国职业技能大赛学生获奖人数</w:t>
            </w:r>
          </w:p>
        </w:tc>
        <w:tc>
          <w:tcPr>
            <w:tcW w:w="834" w:type="dxa"/>
            <w:noWrap w:val="0"/>
            <w:vAlign w:val="center"/>
          </w:tcPr>
          <w:p>
            <w:pPr>
              <w:widowControl/>
              <w:adjustRightInd w:val="0"/>
              <w:snapToGrid w:val="0"/>
              <w:jc w:val="center"/>
              <w:textAlignment w:val="center"/>
              <w:rPr>
                <w:color w:val="000000"/>
                <w:kern w:val="0"/>
                <w:szCs w:val="21"/>
              </w:rPr>
            </w:pPr>
            <w:r>
              <w:rPr>
                <w:rStyle w:val="13"/>
                <w:rFonts w:hint="default"/>
                <w:color w:val="000000"/>
                <w:kern w:val="0"/>
                <w:sz w:val="21"/>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15</w:t>
            </w:r>
          </w:p>
        </w:tc>
        <w:tc>
          <w:tcPr>
            <w:tcW w:w="4768" w:type="dxa"/>
            <w:noWrap w:val="0"/>
            <w:vAlign w:val="center"/>
          </w:tcPr>
          <w:p>
            <w:pPr>
              <w:widowControl/>
              <w:adjustRightInd w:val="0"/>
              <w:snapToGrid w:val="0"/>
              <w:jc w:val="center"/>
              <w:textAlignment w:val="center"/>
              <w:rPr>
                <w:color w:val="000000"/>
                <w:kern w:val="0"/>
                <w:szCs w:val="21"/>
              </w:rPr>
            </w:pPr>
            <w:r>
              <w:rPr>
                <w:color w:val="000000"/>
                <w:spacing w:val="-11"/>
                <w:kern w:val="0"/>
                <w:szCs w:val="21"/>
              </w:rPr>
              <w:t>职业技能等级证书（含职业资格证书）获取人数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12</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708" w:type="dxa"/>
            <w:noWrap w:val="0"/>
            <w:vAlign w:val="center"/>
          </w:tcPr>
          <w:p>
            <w:pPr>
              <w:adjustRightInd w:val="0"/>
              <w:snapToGrid w:val="0"/>
              <w:jc w:val="center"/>
              <w:outlineLvl w:val="1"/>
              <w:rPr>
                <w:color w:val="000000"/>
                <w:kern w:val="0"/>
                <w:szCs w:val="21"/>
              </w:rPr>
            </w:pPr>
            <w:r>
              <w:rPr>
                <w:color w:val="000000"/>
                <w:kern w:val="0"/>
                <w:szCs w:val="21"/>
              </w:rPr>
              <w:t>16</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生均校园用地面积</w:t>
            </w:r>
          </w:p>
        </w:tc>
        <w:tc>
          <w:tcPr>
            <w:tcW w:w="834" w:type="dxa"/>
            <w:noWrap w:val="0"/>
            <w:vAlign w:val="center"/>
          </w:tcPr>
          <w:p>
            <w:pPr>
              <w:widowControl/>
              <w:adjustRightInd w:val="0"/>
              <w:snapToGrid w:val="0"/>
              <w:ind w:left="-63" w:leftChars="-20" w:right="-63" w:rightChars="-20"/>
              <w:jc w:val="center"/>
              <w:textAlignment w:val="center"/>
              <w:rPr>
                <w:color w:val="000000"/>
                <w:kern w:val="0"/>
                <w:szCs w:val="21"/>
              </w:rPr>
            </w:pPr>
            <w:r>
              <w:rPr>
                <w:color w:val="000000"/>
                <w:kern w:val="0"/>
                <w:szCs w:val="21"/>
              </w:rPr>
              <w:t>平方米</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57.35</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17</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生均校舍建筑面积</w:t>
            </w:r>
          </w:p>
        </w:tc>
        <w:tc>
          <w:tcPr>
            <w:tcW w:w="834" w:type="dxa"/>
            <w:noWrap w:val="0"/>
            <w:vAlign w:val="center"/>
          </w:tcPr>
          <w:p>
            <w:pPr>
              <w:widowControl/>
              <w:adjustRightInd w:val="0"/>
              <w:snapToGrid w:val="0"/>
              <w:ind w:left="-63" w:leftChars="-20" w:right="-63" w:rightChars="-20"/>
              <w:jc w:val="center"/>
              <w:textAlignment w:val="center"/>
              <w:rPr>
                <w:color w:val="000000"/>
                <w:kern w:val="0"/>
                <w:szCs w:val="21"/>
              </w:rPr>
            </w:pPr>
            <w:r>
              <w:rPr>
                <w:color w:val="000000"/>
                <w:kern w:val="0"/>
                <w:szCs w:val="21"/>
              </w:rPr>
              <w:t>平方米</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24.93</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18</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生均教学、实习仪器设备资产值</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元</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5091.25</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19</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年生均财政拨款</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元</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1600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20</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纸质图书数</w:t>
            </w:r>
          </w:p>
        </w:tc>
        <w:tc>
          <w:tcPr>
            <w:tcW w:w="834" w:type="dxa"/>
            <w:noWrap w:val="0"/>
            <w:vAlign w:val="center"/>
          </w:tcPr>
          <w:p>
            <w:pPr>
              <w:widowControl/>
              <w:adjustRightInd w:val="0"/>
              <w:snapToGrid w:val="0"/>
              <w:jc w:val="center"/>
              <w:textAlignment w:val="center"/>
              <w:rPr>
                <w:color w:val="000000"/>
                <w:kern w:val="0"/>
                <w:szCs w:val="21"/>
              </w:rPr>
            </w:pPr>
            <w:r>
              <w:rPr>
                <w:rStyle w:val="13"/>
                <w:rFonts w:hint="default"/>
                <w:color w:val="000000"/>
                <w:kern w:val="0"/>
                <w:sz w:val="21"/>
                <w:szCs w:val="21"/>
              </w:rPr>
              <w:t>册</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41960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21</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电子图书资源数</w:t>
            </w:r>
          </w:p>
        </w:tc>
        <w:tc>
          <w:tcPr>
            <w:tcW w:w="834" w:type="dxa"/>
            <w:noWrap w:val="0"/>
            <w:vAlign w:val="center"/>
          </w:tcPr>
          <w:p>
            <w:pPr>
              <w:widowControl/>
              <w:adjustRightInd w:val="0"/>
              <w:snapToGrid w:val="0"/>
              <w:jc w:val="center"/>
              <w:textAlignment w:val="center"/>
              <w:rPr>
                <w:color w:val="000000"/>
                <w:kern w:val="0"/>
                <w:szCs w:val="21"/>
              </w:rPr>
            </w:pPr>
            <w:r>
              <w:rPr>
                <w:color w:val="000000"/>
                <w:kern w:val="0"/>
                <w:szCs w:val="21"/>
              </w:rPr>
              <w:t>册</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32</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22</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校园网主干最大带宽</w:t>
            </w:r>
          </w:p>
        </w:tc>
        <w:tc>
          <w:tcPr>
            <w:tcW w:w="834" w:type="dxa"/>
            <w:noWrap w:val="0"/>
            <w:vAlign w:val="center"/>
          </w:tcPr>
          <w:p>
            <w:pPr>
              <w:adjustRightInd w:val="0"/>
              <w:snapToGrid w:val="0"/>
              <w:jc w:val="center"/>
              <w:outlineLvl w:val="1"/>
              <w:rPr>
                <w:color w:val="000000"/>
                <w:kern w:val="0"/>
                <w:szCs w:val="21"/>
              </w:rPr>
            </w:pPr>
            <w:r>
              <w:rPr>
                <w:color w:val="000000"/>
                <w:kern w:val="0"/>
                <w:szCs w:val="21"/>
              </w:rPr>
              <w:t>Mbps</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100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23</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教职员工额定编制数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adjustRightInd w:val="0"/>
              <w:snapToGrid w:val="0"/>
              <w:jc w:val="center"/>
              <w:textAlignment w:val="center"/>
              <w:rPr>
                <w:color w:val="000000"/>
                <w:kern w:val="0"/>
                <w:szCs w:val="21"/>
              </w:rPr>
            </w:pPr>
            <w:r>
              <w:rPr>
                <w:color w:val="000000"/>
                <w:kern w:val="0"/>
                <w:szCs w:val="21"/>
              </w:rPr>
              <w:t>24</w:t>
            </w:r>
          </w:p>
        </w:tc>
        <w:tc>
          <w:tcPr>
            <w:tcW w:w="4768" w:type="dxa"/>
            <w:noWrap w:val="0"/>
            <w:vAlign w:val="center"/>
          </w:tcPr>
          <w:p>
            <w:pPr>
              <w:adjustRightInd w:val="0"/>
              <w:snapToGrid w:val="0"/>
              <w:jc w:val="center"/>
              <w:textAlignment w:val="center"/>
              <w:rPr>
                <w:color w:val="000000"/>
                <w:kern w:val="0"/>
                <w:szCs w:val="21"/>
              </w:rPr>
            </w:pPr>
            <w:r>
              <w:rPr>
                <w:color w:val="000000"/>
                <w:kern w:val="0"/>
                <w:szCs w:val="21"/>
              </w:rPr>
              <w:t>教职员工总数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115</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restart"/>
            <w:noWrap w:val="0"/>
            <w:vAlign w:val="center"/>
          </w:tcPr>
          <w:p>
            <w:pPr>
              <w:widowControl/>
              <w:adjustRightInd w:val="0"/>
              <w:snapToGrid w:val="0"/>
              <w:jc w:val="center"/>
              <w:textAlignment w:val="center"/>
              <w:rPr>
                <w:color w:val="000000"/>
                <w:kern w:val="0"/>
                <w:szCs w:val="21"/>
              </w:rPr>
            </w:pPr>
            <w:r>
              <w:rPr>
                <w:color w:val="000000"/>
                <w:kern w:val="0"/>
                <w:szCs w:val="21"/>
              </w:rPr>
              <w:t>25</w:t>
            </w:r>
          </w:p>
        </w:tc>
        <w:tc>
          <w:tcPr>
            <w:tcW w:w="4768" w:type="dxa"/>
            <w:noWrap w:val="0"/>
            <w:vAlign w:val="center"/>
          </w:tcPr>
          <w:p>
            <w:pPr>
              <w:adjustRightInd w:val="0"/>
              <w:snapToGrid w:val="0"/>
              <w:jc w:val="center"/>
              <w:rPr>
                <w:color w:val="000000"/>
                <w:kern w:val="0"/>
                <w:szCs w:val="21"/>
              </w:rPr>
            </w:pPr>
            <w:r>
              <w:rPr>
                <w:color w:val="000000"/>
                <w:kern w:val="0"/>
                <w:szCs w:val="21"/>
              </w:rPr>
              <w:t>专任教师数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92</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noWrap w:val="0"/>
            <w:vAlign w:val="center"/>
          </w:tcPr>
          <w:p>
            <w:pPr>
              <w:widowControl/>
              <w:adjustRightInd w:val="0"/>
              <w:snapToGrid w:val="0"/>
              <w:jc w:val="center"/>
              <w:textAlignment w:val="center"/>
              <w:rPr>
                <w:color w:val="000000"/>
                <w:kern w:val="0"/>
                <w:szCs w:val="21"/>
              </w:rPr>
            </w:pPr>
          </w:p>
        </w:tc>
        <w:tc>
          <w:tcPr>
            <w:tcW w:w="4768" w:type="dxa"/>
            <w:noWrap w:val="0"/>
            <w:vAlign w:val="center"/>
          </w:tcPr>
          <w:p>
            <w:pPr>
              <w:adjustRightInd w:val="0"/>
              <w:snapToGrid w:val="0"/>
              <w:jc w:val="center"/>
              <w:rPr>
                <w:color w:val="000000"/>
                <w:kern w:val="0"/>
                <w:szCs w:val="21"/>
              </w:rPr>
            </w:pPr>
            <w:r>
              <w:rPr>
                <w:color w:val="000000"/>
                <w:kern w:val="0"/>
                <w:szCs w:val="21"/>
              </w:rPr>
              <w:t>其中：专业教师数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33</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26</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生师比</w:t>
            </w:r>
          </w:p>
        </w:tc>
        <w:tc>
          <w:tcPr>
            <w:tcW w:w="834" w:type="dxa"/>
            <w:noWrap w:val="0"/>
            <w:vAlign w:val="center"/>
          </w:tcPr>
          <w:p>
            <w:pPr>
              <w:adjustRightInd w:val="0"/>
              <w:snapToGrid w:val="0"/>
              <w:jc w:val="center"/>
              <w:outlineLvl w:val="1"/>
              <w:rPr>
                <w:color w:val="000000"/>
                <w:kern w:val="0"/>
                <w:szCs w:val="21"/>
              </w:rPr>
            </w:pPr>
            <w:r>
              <w:rPr>
                <w:color w:val="000000"/>
                <w:kern w:val="0"/>
                <w:szCs w:val="21"/>
              </w:rPr>
              <w:t>：</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1:15.16</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27</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双师型教师总数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16</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28</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高级专业技术职务专任教师占比</w:t>
            </w:r>
          </w:p>
        </w:tc>
        <w:tc>
          <w:tcPr>
            <w:tcW w:w="834" w:type="dxa"/>
            <w:noWrap w:val="0"/>
            <w:vAlign w:val="center"/>
          </w:tcPr>
          <w:p>
            <w:pPr>
              <w:adjustRightInd w:val="0"/>
              <w:snapToGrid w:val="0"/>
              <w:jc w:val="center"/>
              <w:outlineLvl w:val="1"/>
              <w:rPr>
                <w:color w:val="000000"/>
                <w:kern w:val="0"/>
                <w:szCs w:val="21"/>
              </w:rPr>
            </w:pPr>
            <w:r>
              <w:rPr>
                <w:color w:val="000000"/>
                <w:kern w:val="0"/>
                <w:szCs w:val="21"/>
              </w:rPr>
              <w:t>%</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2.17</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29</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硕士研究生及以上学历专任教师占比</w:t>
            </w:r>
          </w:p>
        </w:tc>
        <w:tc>
          <w:tcPr>
            <w:tcW w:w="834" w:type="dxa"/>
            <w:noWrap w:val="0"/>
            <w:vAlign w:val="center"/>
          </w:tcPr>
          <w:p>
            <w:pPr>
              <w:adjustRightInd w:val="0"/>
              <w:snapToGrid w:val="0"/>
              <w:jc w:val="center"/>
              <w:outlineLvl w:val="1"/>
              <w:rPr>
                <w:color w:val="000000"/>
                <w:kern w:val="0"/>
                <w:szCs w:val="21"/>
              </w:rPr>
            </w:pPr>
            <w:r>
              <w:rPr>
                <w:color w:val="000000"/>
                <w:kern w:val="0"/>
                <w:szCs w:val="21"/>
              </w:rPr>
              <w:t>%</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2.17</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30</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兼职教师总数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31</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毕业生总数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535</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32</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就业人数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499</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33</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毕业生专业对口就业（升学）人数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489</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restart"/>
            <w:noWrap w:val="0"/>
            <w:vAlign w:val="center"/>
          </w:tcPr>
          <w:p>
            <w:pPr>
              <w:widowControl/>
              <w:adjustRightInd w:val="0"/>
              <w:snapToGrid w:val="0"/>
              <w:jc w:val="center"/>
              <w:textAlignment w:val="center"/>
              <w:rPr>
                <w:color w:val="000000"/>
                <w:kern w:val="0"/>
                <w:szCs w:val="21"/>
              </w:rPr>
            </w:pPr>
            <w:r>
              <w:rPr>
                <w:color w:val="000000"/>
                <w:kern w:val="0"/>
                <w:szCs w:val="21"/>
              </w:rPr>
              <w:t>34</w:t>
            </w:r>
          </w:p>
          <w:p>
            <w:pPr>
              <w:widowControl/>
              <w:adjustRightInd w:val="0"/>
              <w:snapToGrid w:val="0"/>
              <w:jc w:val="center"/>
              <w:textAlignment w:val="center"/>
              <w:rPr>
                <w:color w:val="000000"/>
                <w:kern w:val="0"/>
                <w:szCs w:val="21"/>
              </w:rPr>
            </w:pP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毕业生服务三次产业人数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113</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noWrap w:val="0"/>
            <w:vAlign w:val="center"/>
          </w:tcPr>
          <w:p>
            <w:pPr>
              <w:adjustRightInd w:val="0"/>
              <w:snapToGrid w:val="0"/>
              <w:jc w:val="center"/>
              <w:outlineLvl w:val="1"/>
              <w:rPr>
                <w:color w:val="000000"/>
                <w:kern w:val="0"/>
                <w:szCs w:val="21"/>
              </w:rPr>
            </w:pP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其中：服务第一产业人数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4</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noWrap w:val="0"/>
            <w:vAlign w:val="center"/>
          </w:tcPr>
          <w:p>
            <w:pPr>
              <w:adjustRightInd w:val="0"/>
              <w:snapToGrid w:val="0"/>
              <w:jc w:val="center"/>
              <w:outlineLvl w:val="1"/>
              <w:rPr>
                <w:color w:val="000000"/>
                <w:kern w:val="0"/>
                <w:szCs w:val="21"/>
              </w:rPr>
            </w:pPr>
          </w:p>
        </w:tc>
        <w:tc>
          <w:tcPr>
            <w:tcW w:w="4768" w:type="dxa"/>
            <w:noWrap w:val="0"/>
            <w:vAlign w:val="center"/>
          </w:tcPr>
          <w:p>
            <w:pPr>
              <w:widowControl/>
              <w:adjustRightInd w:val="0"/>
              <w:snapToGrid w:val="0"/>
              <w:ind w:firstLine="948" w:firstLineChars="300"/>
              <w:jc w:val="center"/>
              <w:textAlignment w:val="center"/>
              <w:rPr>
                <w:color w:val="000000"/>
                <w:kern w:val="0"/>
                <w:szCs w:val="21"/>
              </w:rPr>
            </w:pPr>
            <w:r>
              <w:rPr>
                <w:color w:val="000000"/>
                <w:kern w:val="0"/>
                <w:szCs w:val="21"/>
              </w:rPr>
              <w:t>服务第二产业人数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3</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noWrap w:val="0"/>
            <w:vAlign w:val="center"/>
          </w:tcPr>
          <w:p>
            <w:pPr>
              <w:widowControl/>
              <w:adjustRightInd w:val="0"/>
              <w:snapToGrid w:val="0"/>
              <w:jc w:val="center"/>
              <w:textAlignment w:val="center"/>
              <w:rPr>
                <w:color w:val="000000"/>
                <w:kern w:val="0"/>
                <w:szCs w:val="21"/>
              </w:rPr>
            </w:pPr>
          </w:p>
        </w:tc>
        <w:tc>
          <w:tcPr>
            <w:tcW w:w="4768" w:type="dxa"/>
            <w:noWrap w:val="0"/>
            <w:vAlign w:val="center"/>
          </w:tcPr>
          <w:p>
            <w:pPr>
              <w:widowControl/>
              <w:adjustRightInd w:val="0"/>
              <w:snapToGrid w:val="0"/>
              <w:ind w:firstLine="948" w:firstLineChars="300"/>
              <w:jc w:val="center"/>
              <w:textAlignment w:val="center"/>
              <w:rPr>
                <w:color w:val="000000"/>
                <w:kern w:val="0"/>
                <w:szCs w:val="21"/>
              </w:rPr>
            </w:pPr>
            <w:r>
              <w:rPr>
                <w:color w:val="000000"/>
                <w:kern w:val="0"/>
                <w:szCs w:val="21"/>
              </w:rPr>
              <w:t>服务第三产业人数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106</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35</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合作企业接收教师企业实践人数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6</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36</w:t>
            </w:r>
          </w:p>
        </w:tc>
        <w:tc>
          <w:tcPr>
            <w:tcW w:w="4768" w:type="dxa"/>
            <w:noWrap w:val="0"/>
            <w:vAlign w:val="center"/>
          </w:tcPr>
          <w:p>
            <w:pPr>
              <w:widowControl/>
              <w:adjustRightInd w:val="0"/>
              <w:snapToGrid w:val="0"/>
              <w:jc w:val="center"/>
              <w:textAlignment w:val="top"/>
              <w:rPr>
                <w:color w:val="000000"/>
                <w:kern w:val="0"/>
                <w:szCs w:val="21"/>
              </w:rPr>
            </w:pPr>
            <w:r>
              <w:rPr>
                <w:color w:val="000000"/>
                <w:kern w:val="0"/>
                <w:szCs w:val="21"/>
              </w:rPr>
              <w:t>合作企业接收学生实习比例</w:t>
            </w:r>
          </w:p>
        </w:tc>
        <w:tc>
          <w:tcPr>
            <w:tcW w:w="834" w:type="dxa"/>
            <w:noWrap w:val="0"/>
            <w:vAlign w:val="center"/>
          </w:tcPr>
          <w:p>
            <w:pPr>
              <w:adjustRightInd w:val="0"/>
              <w:snapToGrid w:val="0"/>
              <w:jc w:val="center"/>
              <w:outlineLvl w:val="1"/>
              <w:rPr>
                <w:color w:val="000000"/>
                <w:kern w:val="0"/>
                <w:szCs w:val="21"/>
              </w:rPr>
            </w:pPr>
            <w:r>
              <w:rPr>
                <w:color w:val="000000"/>
                <w:kern w:val="0"/>
                <w:szCs w:val="21"/>
              </w:rPr>
              <w:t>%</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81.3</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37</w:t>
            </w:r>
          </w:p>
        </w:tc>
        <w:tc>
          <w:tcPr>
            <w:tcW w:w="4768" w:type="dxa"/>
            <w:noWrap w:val="0"/>
            <w:vAlign w:val="center"/>
          </w:tcPr>
          <w:p>
            <w:pPr>
              <w:widowControl/>
              <w:adjustRightInd w:val="0"/>
              <w:snapToGrid w:val="0"/>
              <w:jc w:val="center"/>
              <w:textAlignment w:val="center"/>
              <w:rPr>
                <w:color w:val="000000"/>
                <w:kern w:val="0"/>
                <w:szCs w:val="21"/>
              </w:rPr>
            </w:pPr>
            <w:r>
              <w:rPr>
                <w:color w:val="000000"/>
                <w:kern w:val="0"/>
                <w:szCs w:val="21"/>
              </w:rPr>
              <w:t>企业对学校捐赠设备总值</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万元</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38</w:t>
            </w:r>
          </w:p>
        </w:tc>
        <w:tc>
          <w:tcPr>
            <w:tcW w:w="4768" w:type="dxa"/>
            <w:noWrap w:val="0"/>
            <w:vAlign w:val="center"/>
          </w:tcPr>
          <w:p>
            <w:pPr>
              <w:widowControl/>
              <w:adjustRightInd w:val="0"/>
              <w:snapToGrid w:val="0"/>
              <w:jc w:val="center"/>
              <w:textAlignment w:val="top"/>
              <w:rPr>
                <w:color w:val="000000"/>
                <w:kern w:val="0"/>
                <w:szCs w:val="21"/>
              </w:rPr>
            </w:pPr>
            <w:r>
              <w:rPr>
                <w:color w:val="000000"/>
                <w:kern w:val="0"/>
                <w:szCs w:val="21"/>
              </w:rPr>
              <w:t>接收国际学生人数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人</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39</w:t>
            </w:r>
          </w:p>
        </w:tc>
        <w:tc>
          <w:tcPr>
            <w:tcW w:w="4768" w:type="dxa"/>
            <w:noWrap w:val="0"/>
            <w:vAlign w:val="center"/>
          </w:tcPr>
          <w:p>
            <w:pPr>
              <w:widowControl/>
              <w:adjustRightInd w:val="0"/>
              <w:snapToGrid w:val="0"/>
              <w:jc w:val="center"/>
              <w:textAlignment w:val="top"/>
              <w:rPr>
                <w:color w:val="000000"/>
                <w:kern w:val="0"/>
                <w:szCs w:val="21"/>
              </w:rPr>
            </w:pPr>
            <w:r>
              <w:rPr>
                <w:color w:val="000000"/>
                <w:kern w:val="0"/>
                <w:szCs w:val="21"/>
              </w:rPr>
              <w:t>开展分段培养中外合作专业数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个</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noWrap w:val="0"/>
            <w:vAlign w:val="center"/>
          </w:tcPr>
          <w:p>
            <w:pPr>
              <w:widowControl/>
              <w:adjustRightInd w:val="0"/>
              <w:snapToGrid w:val="0"/>
              <w:jc w:val="center"/>
              <w:textAlignment w:val="center"/>
              <w:rPr>
                <w:color w:val="000000"/>
                <w:kern w:val="0"/>
                <w:szCs w:val="21"/>
              </w:rPr>
            </w:pPr>
            <w:r>
              <w:rPr>
                <w:color w:val="000000"/>
                <w:kern w:val="0"/>
                <w:szCs w:val="21"/>
              </w:rPr>
              <w:t>40</w:t>
            </w:r>
          </w:p>
        </w:tc>
        <w:tc>
          <w:tcPr>
            <w:tcW w:w="4768" w:type="dxa"/>
            <w:noWrap w:val="0"/>
            <w:vAlign w:val="center"/>
          </w:tcPr>
          <w:p>
            <w:pPr>
              <w:widowControl/>
              <w:adjustRightInd w:val="0"/>
              <w:snapToGrid w:val="0"/>
              <w:jc w:val="center"/>
              <w:textAlignment w:val="top"/>
              <w:rPr>
                <w:color w:val="000000"/>
                <w:kern w:val="0"/>
                <w:szCs w:val="21"/>
              </w:rPr>
            </w:pPr>
            <w:r>
              <w:rPr>
                <w:rStyle w:val="15"/>
                <w:rFonts w:hint="default"/>
                <w:color w:val="000000"/>
                <w:kern w:val="0"/>
                <w:sz w:val="21"/>
                <w:szCs w:val="21"/>
              </w:rPr>
              <w:t>开发并被国</w:t>
            </w:r>
            <w:r>
              <w:rPr>
                <w:rStyle w:val="16"/>
                <w:b w:val="0"/>
                <w:bCs w:val="0"/>
                <w:color w:val="000000"/>
                <w:kern w:val="0"/>
                <w:sz w:val="21"/>
                <w:szCs w:val="21"/>
              </w:rPr>
              <w:t xml:space="preserve"> </w:t>
            </w:r>
            <w:r>
              <w:rPr>
                <w:rStyle w:val="15"/>
                <w:rFonts w:hint="default"/>
                <w:color w:val="000000"/>
                <w:kern w:val="0"/>
                <w:sz w:val="21"/>
                <w:szCs w:val="21"/>
              </w:rPr>
              <w:t>（境）外采用的课程数</w:t>
            </w:r>
          </w:p>
        </w:tc>
        <w:tc>
          <w:tcPr>
            <w:tcW w:w="834" w:type="dxa"/>
            <w:noWrap w:val="0"/>
            <w:vAlign w:val="center"/>
          </w:tcPr>
          <w:p>
            <w:pPr>
              <w:adjustRightInd w:val="0"/>
              <w:snapToGrid w:val="0"/>
              <w:jc w:val="center"/>
              <w:outlineLvl w:val="1"/>
              <w:rPr>
                <w:color w:val="000000"/>
                <w:kern w:val="0"/>
                <w:szCs w:val="21"/>
              </w:rPr>
            </w:pPr>
            <w:r>
              <w:rPr>
                <w:color w:val="000000"/>
                <w:kern w:val="0"/>
                <w:szCs w:val="21"/>
              </w:rPr>
              <w:t>门</w:t>
            </w:r>
          </w:p>
        </w:tc>
        <w:tc>
          <w:tcPr>
            <w:tcW w:w="1170" w:type="dxa"/>
            <w:noWrap w:val="0"/>
            <w:vAlign w:val="center"/>
          </w:tcPr>
          <w:p>
            <w:pPr>
              <w:adjustRightInd w:val="0"/>
              <w:snapToGrid w:val="0"/>
              <w:jc w:val="center"/>
              <w:outlineLvl w:val="1"/>
              <w:rPr>
                <w:color w:val="000000"/>
                <w:kern w:val="0"/>
                <w:szCs w:val="21"/>
              </w:rPr>
            </w:pPr>
            <w:r>
              <w:rPr>
                <w:rFonts w:hint="eastAsia"/>
                <w:color w:val="000000"/>
                <w:kern w:val="0"/>
                <w:szCs w:val="21"/>
              </w:rPr>
              <w:t>0</w:t>
            </w:r>
          </w:p>
        </w:tc>
        <w:tc>
          <w:tcPr>
            <w:tcW w:w="1239" w:type="dxa"/>
            <w:noWrap w:val="0"/>
            <w:vAlign w:val="center"/>
          </w:tcPr>
          <w:p>
            <w:pPr>
              <w:adjustRightInd w:val="0"/>
              <w:snapToGrid w:val="0"/>
              <w:jc w:val="center"/>
              <w:outlineLvl w:val="1"/>
              <w:rPr>
                <w:color w:val="000000"/>
                <w:kern w:val="0"/>
                <w:szCs w:val="21"/>
              </w:rPr>
            </w:pPr>
            <w:r>
              <w:rPr>
                <w:color w:val="000000"/>
                <w:kern w:val="0"/>
                <w:szCs w:val="21"/>
              </w:rPr>
              <w:t>引用</w:t>
            </w:r>
          </w:p>
        </w:tc>
      </w:tr>
    </w:tbl>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p>
    <w:p>
      <w:pPr>
        <w:jc w:val="center"/>
        <w:outlineLvl w:val="2"/>
        <w:rPr>
          <w:rFonts w:hint="eastAsia" w:ascii="仿宋_GB2312" w:hAnsi="仿宋_GB2312" w:eastAsia="仿宋_GB2312" w:cs="仿宋_GB2312"/>
          <w:b/>
          <w:bCs/>
          <w:snapToGrid w:val="0"/>
          <w:color w:val="000000"/>
          <w:kern w:val="0"/>
          <w:sz w:val="32"/>
          <w:szCs w:val="32"/>
        </w:rPr>
      </w:pPr>
      <w:r>
        <w:rPr>
          <w:rFonts w:hint="eastAsia" w:ascii="仿宋_GB2312" w:hAnsi="仿宋_GB2312" w:eastAsia="仿宋_GB2312" w:cs="仿宋_GB2312"/>
          <w:b/>
          <w:bCs/>
          <w:snapToGrid w:val="0"/>
          <w:color w:val="000000"/>
          <w:kern w:val="0"/>
          <w:sz w:val="32"/>
          <w:szCs w:val="32"/>
        </w:rPr>
        <w:t>表2 中等职业教育满意度调查表</w:t>
      </w:r>
    </w:p>
    <w:p>
      <w:pPr>
        <w:jc w:val="left"/>
        <w:outlineLvl w:val="3"/>
        <w:rPr>
          <w:rFonts w:hint="eastAsia" w:ascii="宋体" w:hAnsi="宋体" w:cs="宋体"/>
          <w:b/>
          <w:bCs/>
          <w:kern w:val="36"/>
          <w:sz w:val="22"/>
          <w:szCs w:val="48"/>
        </w:rPr>
      </w:pPr>
    </w:p>
    <w:p>
      <w:pPr>
        <w:jc w:val="left"/>
        <w:outlineLvl w:val="3"/>
        <w:rPr>
          <w:rFonts w:ascii="Nimbus Roman" w:hAnsi="Nimbus Roman" w:cs="Nimbus Roman"/>
          <w:color w:val="000000"/>
          <w:sz w:val="28"/>
          <w:szCs w:val="28"/>
        </w:rPr>
      </w:pPr>
      <w:r>
        <w:rPr>
          <w:rFonts w:ascii="Nimbus Roman" w:hAnsi="Nimbus Roman" w:cs="Nimbus Roman"/>
          <w:color w:val="000000"/>
          <w:sz w:val="28"/>
          <w:szCs w:val="28"/>
        </w:rPr>
        <w:t>名称：</w:t>
      </w:r>
      <w:r>
        <w:rPr>
          <w:rFonts w:hint="eastAsia" w:ascii="Nimbus Roman" w:hAnsi="Nimbus Roman" w:cs="Nimbus Roman"/>
          <w:color w:val="000000"/>
          <w:sz w:val="28"/>
          <w:szCs w:val="28"/>
        </w:rPr>
        <w:t>渭南西北新世纪职业中等专业学校</w:t>
      </w:r>
    </w:p>
    <w:tbl>
      <w:tblPr>
        <w:tblStyle w:val="5"/>
        <w:tblW w:w="87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3049"/>
        <w:gridCol w:w="729"/>
        <w:gridCol w:w="1162"/>
        <w:gridCol w:w="1471"/>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blHeader/>
          <w:jc w:val="center"/>
        </w:trPr>
        <w:tc>
          <w:tcPr>
            <w:tcW w:w="718" w:type="dxa"/>
            <w:noWrap w:val="0"/>
            <w:vAlign w:val="center"/>
          </w:tcPr>
          <w:p>
            <w:pPr>
              <w:adjustRightInd w:val="0"/>
              <w:snapToGrid w:val="0"/>
              <w:jc w:val="center"/>
              <w:outlineLvl w:val="1"/>
              <w:rPr>
                <w:color w:val="000000"/>
                <w:kern w:val="0"/>
                <w:szCs w:val="21"/>
              </w:rPr>
            </w:pPr>
            <w:r>
              <w:rPr>
                <w:color w:val="000000"/>
                <w:kern w:val="0"/>
                <w:szCs w:val="21"/>
              </w:rPr>
              <w:t>序号</w:t>
            </w:r>
          </w:p>
        </w:tc>
        <w:tc>
          <w:tcPr>
            <w:tcW w:w="3049" w:type="dxa"/>
            <w:noWrap w:val="0"/>
            <w:vAlign w:val="center"/>
          </w:tcPr>
          <w:p>
            <w:pPr>
              <w:adjustRightInd w:val="0"/>
              <w:snapToGrid w:val="0"/>
              <w:jc w:val="center"/>
              <w:outlineLvl w:val="1"/>
              <w:rPr>
                <w:color w:val="000000"/>
                <w:kern w:val="0"/>
                <w:szCs w:val="21"/>
              </w:rPr>
            </w:pPr>
            <w:r>
              <w:rPr>
                <w:color w:val="000000"/>
                <w:kern w:val="0"/>
                <w:szCs w:val="21"/>
              </w:rPr>
              <w:t>指标</w:t>
            </w:r>
          </w:p>
        </w:tc>
        <w:tc>
          <w:tcPr>
            <w:tcW w:w="729" w:type="dxa"/>
            <w:noWrap w:val="0"/>
            <w:vAlign w:val="center"/>
          </w:tcPr>
          <w:p>
            <w:pPr>
              <w:adjustRightInd w:val="0"/>
              <w:snapToGrid w:val="0"/>
              <w:jc w:val="center"/>
              <w:outlineLvl w:val="1"/>
              <w:rPr>
                <w:color w:val="000000"/>
                <w:kern w:val="0"/>
                <w:szCs w:val="21"/>
              </w:rPr>
            </w:pPr>
            <w:r>
              <w:rPr>
                <w:color w:val="000000"/>
                <w:kern w:val="0"/>
                <w:szCs w:val="21"/>
              </w:rPr>
              <w:t>单位</w:t>
            </w:r>
          </w:p>
        </w:tc>
        <w:tc>
          <w:tcPr>
            <w:tcW w:w="1162" w:type="dxa"/>
            <w:noWrap w:val="0"/>
            <w:vAlign w:val="center"/>
          </w:tcPr>
          <w:p>
            <w:pPr>
              <w:adjustRightInd w:val="0"/>
              <w:snapToGrid w:val="0"/>
              <w:jc w:val="center"/>
              <w:outlineLvl w:val="1"/>
              <w:rPr>
                <w:color w:val="000000"/>
                <w:kern w:val="0"/>
                <w:szCs w:val="21"/>
              </w:rPr>
            </w:pPr>
            <w:r>
              <w:rPr>
                <w:color w:val="000000"/>
                <w:kern w:val="0"/>
                <w:szCs w:val="21"/>
              </w:rPr>
              <w:t>2022年</w:t>
            </w:r>
          </w:p>
        </w:tc>
        <w:tc>
          <w:tcPr>
            <w:tcW w:w="1471" w:type="dxa"/>
            <w:noWrap w:val="0"/>
            <w:vAlign w:val="center"/>
          </w:tcPr>
          <w:p>
            <w:pPr>
              <w:adjustRightInd w:val="0"/>
              <w:snapToGrid w:val="0"/>
              <w:jc w:val="center"/>
              <w:outlineLvl w:val="1"/>
              <w:rPr>
                <w:color w:val="000000"/>
                <w:kern w:val="0"/>
                <w:szCs w:val="21"/>
              </w:rPr>
            </w:pPr>
            <w:r>
              <w:rPr>
                <w:color w:val="000000"/>
                <w:kern w:val="0"/>
                <w:szCs w:val="21"/>
              </w:rPr>
              <w:t>调查人次</w:t>
            </w:r>
          </w:p>
        </w:tc>
        <w:tc>
          <w:tcPr>
            <w:tcW w:w="1648" w:type="dxa"/>
            <w:noWrap w:val="0"/>
            <w:vAlign w:val="center"/>
          </w:tcPr>
          <w:p>
            <w:pPr>
              <w:adjustRightInd w:val="0"/>
              <w:snapToGrid w:val="0"/>
              <w:jc w:val="center"/>
              <w:outlineLvl w:val="1"/>
              <w:rPr>
                <w:color w:val="000000"/>
                <w:kern w:val="0"/>
                <w:szCs w:val="21"/>
              </w:rPr>
            </w:pPr>
            <w:r>
              <w:rPr>
                <w:color w:val="000000"/>
                <w:kern w:val="0"/>
                <w:szCs w:val="21"/>
              </w:rPr>
              <w:t>调查方式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718" w:type="dxa"/>
            <w:vMerge w:val="restart"/>
            <w:noWrap w:val="0"/>
            <w:vAlign w:val="center"/>
          </w:tcPr>
          <w:p>
            <w:pPr>
              <w:widowControl/>
              <w:adjustRightInd w:val="0"/>
              <w:snapToGrid w:val="0"/>
              <w:jc w:val="center"/>
              <w:textAlignment w:val="center"/>
              <w:rPr>
                <w:color w:val="000000"/>
                <w:kern w:val="0"/>
                <w:szCs w:val="21"/>
              </w:rPr>
            </w:pPr>
            <w:r>
              <w:rPr>
                <w:color w:val="000000"/>
                <w:kern w:val="0"/>
                <w:szCs w:val="21"/>
              </w:rPr>
              <w:t>1</w:t>
            </w:r>
          </w:p>
        </w:tc>
        <w:tc>
          <w:tcPr>
            <w:tcW w:w="3049" w:type="dxa"/>
            <w:noWrap w:val="0"/>
            <w:vAlign w:val="center"/>
          </w:tcPr>
          <w:p>
            <w:pPr>
              <w:widowControl/>
              <w:adjustRightInd w:val="0"/>
              <w:snapToGrid w:val="0"/>
              <w:jc w:val="center"/>
              <w:textAlignment w:val="top"/>
              <w:rPr>
                <w:color w:val="000000"/>
                <w:kern w:val="0"/>
                <w:szCs w:val="21"/>
              </w:rPr>
            </w:pPr>
            <w:r>
              <w:rPr>
                <w:color w:val="000000"/>
                <w:kern w:val="0"/>
                <w:szCs w:val="21"/>
              </w:rPr>
              <w:t>在校生满意度</w:t>
            </w:r>
          </w:p>
        </w:tc>
        <w:tc>
          <w:tcPr>
            <w:tcW w:w="729" w:type="dxa"/>
            <w:noWrap w:val="0"/>
            <w:vAlign w:val="center"/>
          </w:tcPr>
          <w:p>
            <w:pPr>
              <w:adjustRightInd w:val="0"/>
              <w:snapToGrid w:val="0"/>
              <w:jc w:val="center"/>
              <w:outlineLvl w:val="1"/>
              <w:rPr>
                <w:color w:val="000000"/>
                <w:kern w:val="0"/>
                <w:szCs w:val="21"/>
              </w:rPr>
            </w:pPr>
            <w:r>
              <w:rPr>
                <w:color w:val="000000"/>
                <w:kern w:val="0"/>
                <w:szCs w:val="21"/>
              </w:rPr>
              <w:t>%</w:t>
            </w:r>
          </w:p>
        </w:tc>
        <w:tc>
          <w:tcPr>
            <w:tcW w:w="1162" w:type="dxa"/>
            <w:noWrap w:val="0"/>
            <w:vAlign w:val="center"/>
          </w:tcPr>
          <w:p>
            <w:pPr>
              <w:adjustRightInd w:val="0"/>
              <w:snapToGrid w:val="0"/>
              <w:jc w:val="center"/>
              <w:outlineLvl w:val="1"/>
              <w:rPr>
                <w:color w:val="000000"/>
                <w:kern w:val="0"/>
                <w:szCs w:val="21"/>
              </w:rPr>
            </w:pPr>
            <w:r>
              <w:rPr>
                <w:rFonts w:hint="eastAsia"/>
                <w:color w:val="000000"/>
                <w:kern w:val="0"/>
                <w:szCs w:val="21"/>
              </w:rPr>
              <w:t>93</w:t>
            </w:r>
          </w:p>
        </w:tc>
        <w:tc>
          <w:tcPr>
            <w:tcW w:w="1471" w:type="dxa"/>
            <w:noWrap w:val="0"/>
            <w:vAlign w:val="center"/>
          </w:tcPr>
          <w:p>
            <w:pPr>
              <w:adjustRightInd w:val="0"/>
              <w:snapToGrid w:val="0"/>
              <w:jc w:val="center"/>
              <w:outlineLvl w:val="1"/>
              <w:rPr>
                <w:color w:val="000000"/>
                <w:kern w:val="0"/>
                <w:szCs w:val="21"/>
              </w:rPr>
            </w:pPr>
            <w:r>
              <w:rPr>
                <w:rFonts w:hint="eastAsia"/>
                <w:color w:val="000000"/>
                <w:kern w:val="0"/>
                <w:szCs w:val="21"/>
              </w:rPr>
              <w:t>3269</w:t>
            </w:r>
          </w:p>
        </w:tc>
        <w:tc>
          <w:tcPr>
            <w:tcW w:w="1648" w:type="dxa"/>
            <w:noWrap w:val="0"/>
            <w:vAlign w:val="center"/>
          </w:tcPr>
          <w:p>
            <w:pPr>
              <w:adjustRightInd w:val="0"/>
              <w:snapToGrid w:val="0"/>
              <w:jc w:val="center"/>
              <w:outlineLvl w:val="1"/>
              <w:rPr>
                <w:color w:val="000000"/>
                <w:kern w:val="0"/>
                <w:szCs w:val="21"/>
              </w:rPr>
            </w:pPr>
            <w:r>
              <w:rPr>
                <w:rFonts w:hint="eastAsia"/>
                <w:color w:val="000000"/>
                <w:kern w:val="0"/>
                <w:szCs w:val="21"/>
              </w:rPr>
              <w:t>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718" w:type="dxa"/>
            <w:vMerge w:val="continue"/>
            <w:noWrap w:val="0"/>
            <w:vAlign w:val="center"/>
          </w:tcPr>
          <w:p>
            <w:pPr>
              <w:widowControl/>
              <w:adjustRightInd w:val="0"/>
              <w:snapToGrid w:val="0"/>
              <w:jc w:val="center"/>
              <w:textAlignment w:val="center"/>
              <w:rPr>
                <w:color w:val="000000"/>
                <w:kern w:val="0"/>
                <w:szCs w:val="21"/>
              </w:rPr>
            </w:pPr>
          </w:p>
        </w:tc>
        <w:tc>
          <w:tcPr>
            <w:tcW w:w="3049" w:type="dxa"/>
            <w:noWrap w:val="0"/>
            <w:vAlign w:val="center"/>
          </w:tcPr>
          <w:p>
            <w:pPr>
              <w:widowControl/>
              <w:adjustRightInd w:val="0"/>
              <w:snapToGrid w:val="0"/>
              <w:jc w:val="center"/>
              <w:textAlignment w:val="top"/>
              <w:rPr>
                <w:color w:val="000000"/>
                <w:kern w:val="0"/>
                <w:szCs w:val="21"/>
              </w:rPr>
            </w:pPr>
            <w:r>
              <w:rPr>
                <w:color w:val="000000"/>
                <w:kern w:val="0"/>
                <w:szCs w:val="21"/>
              </w:rPr>
              <w:t>其中：课堂育人满意度</w:t>
            </w:r>
          </w:p>
        </w:tc>
        <w:tc>
          <w:tcPr>
            <w:tcW w:w="729" w:type="dxa"/>
            <w:noWrap w:val="0"/>
            <w:vAlign w:val="center"/>
          </w:tcPr>
          <w:p>
            <w:pPr>
              <w:adjustRightInd w:val="0"/>
              <w:snapToGrid w:val="0"/>
              <w:jc w:val="center"/>
              <w:outlineLvl w:val="1"/>
              <w:rPr>
                <w:color w:val="000000"/>
                <w:kern w:val="0"/>
                <w:szCs w:val="21"/>
              </w:rPr>
            </w:pPr>
            <w:r>
              <w:rPr>
                <w:color w:val="000000"/>
                <w:kern w:val="0"/>
                <w:szCs w:val="21"/>
              </w:rPr>
              <w:t>%</w:t>
            </w:r>
          </w:p>
        </w:tc>
        <w:tc>
          <w:tcPr>
            <w:tcW w:w="1162" w:type="dxa"/>
            <w:noWrap w:val="0"/>
            <w:vAlign w:val="center"/>
          </w:tcPr>
          <w:p>
            <w:pPr>
              <w:adjustRightInd w:val="0"/>
              <w:snapToGrid w:val="0"/>
              <w:jc w:val="center"/>
              <w:outlineLvl w:val="1"/>
              <w:rPr>
                <w:color w:val="000000"/>
                <w:kern w:val="0"/>
                <w:szCs w:val="21"/>
              </w:rPr>
            </w:pPr>
            <w:r>
              <w:rPr>
                <w:rFonts w:hint="eastAsia"/>
                <w:color w:val="000000"/>
                <w:kern w:val="0"/>
                <w:szCs w:val="21"/>
              </w:rPr>
              <w:t>93</w:t>
            </w:r>
          </w:p>
        </w:tc>
        <w:tc>
          <w:tcPr>
            <w:tcW w:w="1471" w:type="dxa"/>
            <w:noWrap w:val="0"/>
            <w:vAlign w:val="center"/>
          </w:tcPr>
          <w:p>
            <w:pPr>
              <w:adjustRightInd w:val="0"/>
              <w:snapToGrid w:val="0"/>
              <w:jc w:val="center"/>
              <w:outlineLvl w:val="1"/>
              <w:rPr>
                <w:color w:val="000000"/>
                <w:kern w:val="0"/>
                <w:szCs w:val="21"/>
              </w:rPr>
            </w:pPr>
            <w:r>
              <w:rPr>
                <w:rFonts w:hint="eastAsia"/>
                <w:color w:val="000000"/>
                <w:kern w:val="0"/>
                <w:szCs w:val="21"/>
              </w:rPr>
              <w:t>745</w:t>
            </w:r>
          </w:p>
        </w:tc>
        <w:tc>
          <w:tcPr>
            <w:tcW w:w="1648" w:type="dxa"/>
            <w:noWrap w:val="0"/>
            <w:vAlign w:val="center"/>
          </w:tcPr>
          <w:p>
            <w:pPr>
              <w:adjustRightInd w:val="0"/>
              <w:snapToGrid w:val="0"/>
              <w:jc w:val="center"/>
              <w:outlineLvl w:val="1"/>
              <w:rPr>
                <w:color w:val="000000"/>
                <w:kern w:val="0"/>
                <w:szCs w:val="21"/>
              </w:rPr>
            </w:pPr>
            <w:r>
              <w:rPr>
                <w:rFonts w:hint="eastAsia"/>
                <w:color w:val="000000"/>
                <w:kern w:val="0"/>
                <w:szCs w:val="21"/>
              </w:rPr>
              <w:t>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718" w:type="dxa"/>
            <w:vMerge w:val="continue"/>
            <w:noWrap w:val="0"/>
            <w:vAlign w:val="center"/>
          </w:tcPr>
          <w:p>
            <w:pPr>
              <w:widowControl/>
              <w:adjustRightInd w:val="0"/>
              <w:snapToGrid w:val="0"/>
              <w:jc w:val="center"/>
              <w:textAlignment w:val="center"/>
              <w:rPr>
                <w:color w:val="000000"/>
                <w:kern w:val="0"/>
                <w:szCs w:val="21"/>
              </w:rPr>
            </w:pPr>
          </w:p>
        </w:tc>
        <w:tc>
          <w:tcPr>
            <w:tcW w:w="3049" w:type="dxa"/>
            <w:noWrap w:val="0"/>
            <w:vAlign w:val="center"/>
          </w:tcPr>
          <w:p>
            <w:pPr>
              <w:widowControl/>
              <w:adjustRightInd w:val="0"/>
              <w:snapToGrid w:val="0"/>
              <w:jc w:val="center"/>
              <w:textAlignment w:val="top"/>
              <w:rPr>
                <w:color w:val="000000"/>
                <w:kern w:val="0"/>
                <w:szCs w:val="21"/>
              </w:rPr>
            </w:pPr>
            <w:r>
              <w:rPr>
                <w:color w:val="000000"/>
                <w:kern w:val="0"/>
                <w:szCs w:val="21"/>
              </w:rPr>
              <w:t>课外育人满意度</w:t>
            </w:r>
          </w:p>
        </w:tc>
        <w:tc>
          <w:tcPr>
            <w:tcW w:w="729" w:type="dxa"/>
            <w:noWrap w:val="0"/>
            <w:vAlign w:val="center"/>
          </w:tcPr>
          <w:p>
            <w:pPr>
              <w:adjustRightInd w:val="0"/>
              <w:snapToGrid w:val="0"/>
              <w:jc w:val="center"/>
              <w:outlineLvl w:val="1"/>
              <w:rPr>
                <w:color w:val="000000"/>
                <w:kern w:val="0"/>
                <w:szCs w:val="21"/>
              </w:rPr>
            </w:pPr>
            <w:r>
              <w:rPr>
                <w:color w:val="000000"/>
                <w:kern w:val="0"/>
                <w:szCs w:val="21"/>
              </w:rPr>
              <w:t>%</w:t>
            </w:r>
          </w:p>
        </w:tc>
        <w:tc>
          <w:tcPr>
            <w:tcW w:w="1162" w:type="dxa"/>
            <w:noWrap w:val="0"/>
            <w:vAlign w:val="center"/>
          </w:tcPr>
          <w:p>
            <w:pPr>
              <w:adjustRightInd w:val="0"/>
              <w:snapToGrid w:val="0"/>
              <w:jc w:val="center"/>
              <w:outlineLvl w:val="1"/>
              <w:rPr>
                <w:color w:val="000000"/>
                <w:kern w:val="0"/>
                <w:szCs w:val="21"/>
              </w:rPr>
            </w:pPr>
            <w:r>
              <w:rPr>
                <w:rFonts w:hint="eastAsia"/>
                <w:color w:val="000000"/>
                <w:kern w:val="0"/>
                <w:szCs w:val="21"/>
              </w:rPr>
              <w:t>92</w:t>
            </w:r>
          </w:p>
        </w:tc>
        <w:tc>
          <w:tcPr>
            <w:tcW w:w="1471" w:type="dxa"/>
            <w:noWrap w:val="0"/>
            <w:vAlign w:val="center"/>
          </w:tcPr>
          <w:p>
            <w:pPr>
              <w:adjustRightInd w:val="0"/>
              <w:snapToGrid w:val="0"/>
              <w:jc w:val="center"/>
              <w:outlineLvl w:val="1"/>
              <w:rPr>
                <w:color w:val="000000"/>
                <w:kern w:val="0"/>
                <w:szCs w:val="21"/>
              </w:rPr>
            </w:pPr>
            <w:r>
              <w:rPr>
                <w:rFonts w:hint="eastAsia"/>
                <w:color w:val="000000"/>
                <w:kern w:val="0"/>
                <w:szCs w:val="21"/>
              </w:rPr>
              <w:t>150</w:t>
            </w:r>
          </w:p>
        </w:tc>
        <w:tc>
          <w:tcPr>
            <w:tcW w:w="1648" w:type="dxa"/>
            <w:noWrap w:val="0"/>
            <w:vAlign w:val="center"/>
          </w:tcPr>
          <w:p>
            <w:pPr>
              <w:adjustRightInd w:val="0"/>
              <w:snapToGrid w:val="0"/>
              <w:jc w:val="center"/>
              <w:outlineLvl w:val="1"/>
              <w:rPr>
                <w:color w:val="000000"/>
                <w:kern w:val="0"/>
                <w:szCs w:val="21"/>
              </w:rPr>
            </w:pPr>
            <w:r>
              <w:rPr>
                <w:rFonts w:hint="eastAsia"/>
                <w:color w:val="000000"/>
                <w:kern w:val="0"/>
                <w:szCs w:val="21"/>
              </w:rPr>
              <w:t>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718" w:type="dxa"/>
            <w:vMerge w:val="continue"/>
            <w:noWrap w:val="0"/>
            <w:vAlign w:val="center"/>
          </w:tcPr>
          <w:p>
            <w:pPr>
              <w:widowControl/>
              <w:adjustRightInd w:val="0"/>
              <w:snapToGrid w:val="0"/>
              <w:jc w:val="center"/>
              <w:textAlignment w:val="center"/>
              <w:rPr>
                <w:color w:val="000000"/>
                <w:kern w:val="0"/>
                <w:szCs w:val="21"/>
              </w:rPr>
            </w:pPr>
          </w:p>
        </w:tc>
        <w:tc>
          <w:tcPr>
            <w:tcW w:w="3049" w:type="dxa"/>
            <w:noWrap w:val="0"/>
            <w:vAlign w:val="center"/>
          </w:tcPr>
          <w:p>
            <w:pPr>
              <w:widowControl/>
              <w:adjustRightInd w:val="0"/>
              <w:snapToGrid w:val="0"/>
              <w:jc w:val="center"/>
              <w:textAlignment w:val="top"/>
              <w:rPr>
                <w:color w:val="000000"/>
                <w:kern w:val="0"/>
                <w:szCs w:val="21"/>
              </w:rPr>
            </w:pPr>
            <w:r>
              <w:rPr>
                <w:color w:val="000000"/>
                <w:kern w:val="0"/>
                <w:szCs w:val="21"/>
              </w:rPr>
              <w:t>思想政治课教学满意度</w:t>
            </w:r>
          </w:p>
        </w:tc>
        <w:tc>
          <w:tcPr>
            <w:tcW w:w="729" w:type="dxa"/>
            <w:noWrap w:val="0"/>
            <w:vAlign w:val="center"/>
          </w:tcPr>
          <w:p>
            <w:pPr>
              <w:adjustRightInd w:val="0"/>
              <w:snapToGrid w:val="0"/>
              <w:jc w:val="center"/>
              <w:outlineLvl w:val="1"/>
              <w:rPr>
                <w:color w:val="000000"/>
                <w:kern w:val="0"/>
                <w:szCs w:val="21"/>
              </w:rPr>
            </w:pPr>
            <w:r>
              <w:rPr>
                <w:color w:val="000000"/>
                <w:kern w:val="0"/>
                <w:szCs w:val="21"/>
              </w:rPr>
              <w:t>%</w:t>
            </w:r>
          </w:p>
        </w:tc>
        <w:tc>
          <w:tcPr>
            <w:tcW w:w="1162" w:type="dxa"/>
            <w:noWrap w:val="0"/>
            <w:vAlign w:val="center"/>
          </w:tcPr>
          <w:p>
            <w:pPr>
              <w:adjustRightInd w:val="0"/>
              <w:snapToGrid w:val="0"/>
              <w:jc w:val="center"/>
              <w:outlineLvl w:val="1"/>
              <w:rPr>
                <w:color w:val="000000"/>
                <w:kern w:val="0"/>
                <w:szCs w:val="21"/>
              </w:rPr>
            </w:pPr>
            <w:r>
              <w:rPr>
                <w:rFonts w:hint="eastAsia"/>
                <w:color w:val="000000"/>
                <w:kern w:val="0"/>
                <w:szCs w:val="21"/>
              </w:rPr>
              <w:t>95</w:t>
            </w:r>
          </w:p>
        </w:tc>
        <w:tc>
          <w:tcPr>
            <w:tcW w:w="1471" w:type="dxa"/>
            <w:noWrap w:val="0"/>
            <w:vAlign w:val="center"/>
          </w:tcPr>
          <w:p>
            <w:pPr>
              <w:adjustRightInd w:val="0"/>
              <w:snapToGrid w:val="0"/>
              <w:jc w:val="center"/>
              <w:outlineLvl w:val="1"/>
              <w:rPr>
                <w:color w:val="000000"/>
                <w:kern w:val="0"/>
                <w:szCs w:val="21"/>
              </w:rPr>
            </w:pPr>
            <w:r>
              <w:rPr>
                <w:rFonts w:hint="eastAsia"/>
                <w:color w:val="000000"/>
                <w:kern w:val="0"/>
                <w:szCs w:val="21"/>
              </w:rPr>
              <w:t>592</w:t>
            </w:r>
          </w:p>
        </w:tc>
        <w:tc>
          <w:tcPr>
            <w:tcW w:w="1648" w:type="dxa"/>
            <w:noWrap w:val="0"/>
            <w:vAlign w:val="center"/>
          </w:tcPr>
          <w:p>
            <w:pPr>
              <w:adjustRightInd w:val="0"/>
              <w:snapToGrid w:val="0"/>
              <w:jc w:val="center"/>
              <w:outlineLvl w:val="1"/>
              <w:rPr>
                <w:color w:val="000000"/>
                <w:kern w:val="0"/>
                <w:szCs w:val="21"/>
              </w:rPr>
            </w:pPr>
            <w:r>
              <w:rPr>
                <w:rFonts w:hint="eastAsia"/>
                <w:color w:val="000000"/>
                <w:kern w:val="0"/>
                <w:szCs w:val="21"/>
              </w:rPr>
              <w:t>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718" w:type="dxa"/>
            <w:vMerge w:val="continue"/>
            <w:noWrap w:val="0"/>
            <w:vAlign w:val="center"/>
          </w:tcPr>
          <w:p>
            <w:pPr>
              <w:widowControl/>
              <w:adjustRightInd w:val="0"/>
              <w:snapToGrid w:val="0"/>
              <w:jc w:val="center"/>
              <w:textAlignment w:val="center"/>
              <w:rPr>
                <w:color w:val="000000"/>
                <w:kern w:val="0"/>
                <w:szCs w:val="21"/>
              </w:rPr>
            </w:pPr>
          </w:p>
        </w:tc>
        <w:tc>
          <w:tcPr>
            <w:tcW w:w="3049" w:type="dxa"/>
            <w:noWrap w:val="0"/>
            <w:vAlign w:val="center"/>
          </w:tcPr>
          <w:p>
            <w:pPr>
              <w:widowControl/>
              <w:adjustRightInd w:val="0"/>
              <w:snapToGrid w:val="0"/>
              <w:jc w:val="center"/>
              <w:textAlignment w:val="top"/>
              <w:rPr>
                <w:color w:val="000000"/>
                <w:kern w:val="0"/>
                <w:szCs w:val="21"/>
              </w:rPr>
            </w:pPr>
            <w:r>
              <w:rPr>
                <w:color w:val="000000"/>
                <w:kern w:val="0"/>
                <w:szCs w:val="21"/>
              </w:rPr>
              <w:t>公共基础课（不含思想政治课）教学满意度</w:t>
            </w:r>
          </w:p>
        </w:tc>
        <w:tc>
          <w:tcPr>
            <w:tcW w:w="729" w:type="dxa"/>
            <w:noWrap w:val="0"/>
            <w:vAlign w:val="center"/>
          </w:tcPr>
          <w:p>
            <w:pPr>
              <w:adjustRightInd w:val="0"/>
              <w:snapToGrid w:val="0"/>
              <w:jc w:val="center"/>
              <w:outlineLvl w:val="1"/>
              <w:rPr>
                <w:color w:val="000000"/>
                <w:kern w:val="0"/>
                <w:szCs w:val="21"/>
              </w:rPr>
            </w:pPr>
            <w:r>
              <w:rPr>
                <w:color w:val="000000"/>
                <w:kern w:val="0"/>
                <w:szCs w:val="21"/>
              </w:rPr>
              <w:t>%</w:t>
            </w:r>
          </w:p>
        </w:tc>
        <w:tc>
          <w:tcPr>
            <w:tcW w:w="1162" w:type="dxa"/>
            <w:noWrap w:val="0"/>
            <w:vAlign w:val="center"/>
          </w:tcPr>
          <w:p>
            <w:pPr>
              <w:adjustRightInd w:val="0"/>
              <w:snapToGrid w:val="0"/>
              <w:jc w:val="center"/>
              <w:outlineLvl w:val="1"/>
              <w:rPr>
                <w:color w:val="000000"/>
                <w:kern w:val="0"/>
                <w:szCs w:val="21"/>
              </w:rPr>
            </w:pPr>
            <w:r>
              <w:rPr>
                <w:rFonts w:hint="eastAsia"/>
                <w:color w:val="000000"/>
                <w:kern w:val="0"/>
                <w:szCs w:val="21"/>
              </w:rPr>
              <w:t>93</w:t>
            </w:r>
          </w:p>
        </w:tc>
        <w:tc>
          <w:tcPr>
            <w:tcW w:w="1471" w:type="dxa"/>
            <w:noWrap w:val="0"/>
            <w:vAlign w:val="center"/>
          </w:tcPr>
          <w:p>
            <w:pPr>
              <w:adjustRightInd w:val="0"/>
              <w:snapToGrid w:val="0"/>
              <w:jc w:val="center"/>
              <w:outlineLvl w:val="1"/>
              <w:rPr>
                <w:color w:val="000000"/>
                <w:kern w:val="0"/>
                <w:szCs w:val="21"/>
              </w:rPr>
            </w:pPr>
            <w:r>
              <w:rPr>
                <w:rFonts w:hint="eastAsia"/>
                <w:color w:val="000000"/>
                <w:kern w:val="0"/>
                <w:szCs w:val="21"/>
              </w:rPr>
              <w:t>1486</w:t>
            </w:r>
          </w:p>
        </w:tc>
        <w:tc>
          <w:tcPr>
            <w:tcW w:w="1648" w:type="dxa"/>
            <w:noWrap w:val="0"/>
            <w:vAlign w:val="center"/>
          </w:tcPr>
          <w:p>
            <w:pPr>
              <w:adjustRightInd w:val="0"/>
              <w:snapToGrid w:val="0"/>
              <w:jc w:val="center"/>
              <w:outlineLvl w:val="1"/>
              <w:rPr>
                <w:color w:val="000000"/>
                <w:kern w:val="0"/>
                <w:szCs w:val="21"/>
              </w:rPr>
            </w:pPr>
            <w:r>
              <w:rPr>
                <w:rFonts w:hint="eastAsia"/>
                <w:color w:val="000000"/>
                <w:kern w:val="0"/>
                <w:szCs w:val="21"/>
              </w:rPr>
              <w:t>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718" w:type="dxa"/>
            <w:vMerge w:val="continue"/>
            <w:noWrap w:val="0"/>
            <w:vAlign w:val="center"/>
          </w:tcPr>
          <w:p>
            <w:pPr>
              <w:widowControl/>
              <w:adjustRightInd w:val="0"/>
              <w:snapToGrid w:val="0"/>
              <w:jc w:val="center"/>
              <w:textAlignment w:val="center"/>
              <w:rPr>
                <w:color w:val="000000"/>
                <w:kern w:val="0"/>
                <w:szCs w:val="21"/>
              </w:rPr>
            </w:pPr>
          </w:p>
        </w:tc>
        <w:tc>
          <w:tcPr>
            <w:tcW w:w="3049" w:type="dxa"/>
            <w:noWrap w:val="0"/>
            <w:vAlign w:val="center"/>
          </w:tcPr>
          <w:p>
            <w:pPr>
              <w:widowControl/>
              <w:adjustRightInd w:val="0"/>
              <w:snapToGrid w:val="0"/>
              <w:jc w:val="center"/>
              <w:textAlignment w:val="top"/>
              <w:rPr>
                <w:color w:val="000000"/>
                <w:kern w:val="0"/>
                <w:szCs w:val="21"/>
              </w:rPr>
            </w:pPr>
            <w:r>
              <w:rPr>
                <w:color w:val="000000"/>
                <w:kern w:val="0"/>
                <w:szCs w:val="21"/>
              </w:rPr>
              <w:t>专业课教学满意度</w:t>
            </w:r>
          </w:p>
        </w:tc>
        <w:tc>
          <w:tcPr>
            <w:tcW w:w="729" w:type="dxa"/>
            <w:noWrap w:val="0"/>
            <w:vAlign w:val="center"/>
          </w:tcPr>
          <w:p>
            <w:pPr>
              <w:adjustRightInd w:val="0"/>
              <w:snapToGrid w:val="0"/>
              <w:jc w:val="center"/>
              <w:outlineLvl w:val="1"/>
              <w:rPr>
                <w:color w:val="000000"/>
                <w:kern w:val="0"/>
                <w:szCs w:val="21"/>
              </w:rPr>
            </w:pPr>
            <w:r>
              <w:rPr>
                <w:color w:val="000000"/>
                <w:kern w:val="0"/>
                <w:szCs w:val="21"/>
              </w:rPr>
              <w:t>%</w:t>
            </w:r>
          </w:p>
        </w:tc>
        <w:tc>
          <w:tcPr>
            <w:tcW w:w="1162" w:type="dxa"/>
            <w:noWrap w:val="0"/>
            <w:vAlign w:val="center"/>
          </w:tcPr>
          <w:p>
            <w:pPr>
              <w:adjustRightInd w:val="0"/>
              <w:snapToGrid w:val="0"/>
              <w:jc w:val="center"/>
              <w:outlineLvl w:val="1"/>
              <w:rPr>
                <w:color w:val="000000"/>
                <w:kern w:val="0"/>
                <w:szCs w:val="21"/>
              </w:rPr>
            </w:pPr>
            <w:r>
              <w:rPr>
                <w:rFonts w:hint="eastAsia"/>
                <w:color w:val="000000"/>
                <w:kern w:val="0"/>
                <w:szCs w:val="21"/>
              </w:rPr>
              <w:t>92</w:t>
            </w:r>
          </w:p>
        </w:tc>
        <w:tc>
          <w:tcPr>
            <w:tcW w:w="1471" w:type="dxa"/>
            <w:noWrap w:val="0"/>
            <w:vAlign w:val="center"/>
          </w:tcPr>
          <w:p>
            <w:pPr>
              <w:adjustRightInd w:val="0"/>
              <w:snapToGrid w:val="0"/>
              <w:jc w:val="center"/>
              <w:outlineLvl w:val="1"/>
              <w:rPr>
                <w:color w:val="000000"/>
                <w:kern w:val="0"/>
                <w:szCs w:val="21"/>
              </w:rPr>
            </w:pPr>
            <w:r>
              <w:rPr>
                <w:rFonts w:hint="eastAsia"/>
                <w:color w:val="000000"/>
                <w:kern w:val="0"/>
                <w:szCs w:val="21"/>
              </w:rPr>
              <w:t>296</w:t>
            </w:r>
          </w:p>
        </w:tc>
        <w:tc>
          <w:tcPr>
            <w:tcW w:w="1648" w:type="dxa"/>
            <w:noWrap w:val="0"/>
            <w:vAlign w:val="center"/>
          </w:tcPr>
          <w:p>
            <w:pPr>
              <w:adjustRightInd w:val="0"/>
              <w:snapToGrid w:val="0"/>
              <w:jc w:val="center"/>
              <w:outlineLvl w:val="1"/>
              <w:rPr>
                <w:color w:val="000000"/>
                <w:kern w:val="0"/>
                <w:szCs w:val="21"/>
              </w:rPr>
            </w:pPr>
            <w:r>
              <w:rPr>
                <w:rFonts w:hint="eastAsia"/>
                <w:color w:val="000000"/>
                <w:kern w:val="0"/>
                <w:szCs w:val="21"/>
              </w:rPr>
              <w:t>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18" w:type="dxa"/>
            <w:vMerge w:val="restart"/>
            <w:noWrap w:val="0"/>
            <w:vAlign w:val="center"/>
          </w:tcPr>
          <w:p>
            <w:pPr>
              <w:widowControl/>
              <w:adjustRightInd w:val="0"/>
              <w:snapToGrid w:val="0"/>
              <w:jc w:val="center"/>
              <w:textAlignment w:val="center"/>
              <w:rPr>
                <w:color w:val="000000"/>
                <w:kern w:val="0"/>
                <w:szCs w:val="21"/>
              </w:rPr>
            </w:pPr>
            <w:r>
              <w:rPr>
                <w:color w:val="000000"/>
                <w:kern w:val="0"/>
                <w:szCs w:val="21"/>
              </w:rPr>
              <w:t>2</w:t>
            </w:r>
          </w:p>
        </w:tc>
        <w:tc>
          <w:tcPr>
            <w:tcW w:w="3049" w:type="dxa"/>
            <w:noWrap w:val="0"/>
            <w:vAlign w:val="center"/>
          </w:tcPr>
          <w:p>
            <w:pPr>
              <w:widowControl/>
              <w:adjustRightInd w:val="0"/>
              <w:snapToGrid w:val="0"/>
              <w:jc w:val="center"/>
              <w:textAlignment w:val="top"/>
              <w:rPr>
                <w:color w:val="000000"/>
                <w:kern w:val="0"/>
                <w:szCs w:val="21"/>
              </w:rPr>
            </w:pPr>
            <w:r>
              <w:rPr>
                <w:color w:val="000000"/>
                <w:kern w:val="0"/>
                <w:szCs w:val="21"/>
              </w:rPr>
              <w:t>毕业生满意度</w:t>
            </w:r>
          </w:p>
        </w:tc>
        <w:tc>
          <w:tcPr>
            <w:tcW w:w="729" w:type="dxa"/>
            <w:noWrap w:val="0"/>
            <w:vAlign w:val="center"/>
          </w:tcPr>
          <w:p>
            <w:pPr>
              <w:adjustRightInd w:val="0"/>
              <w:snapToGrid w:val="0"/>
              <w:jc w:val="center"/>
              <w:outlineLvl w:val="1"/>
              <w:rPr>
                <w:color w:val="000000"/>
                <w:kern w:val="0"/>
                <w:szCs w:val="21"/>
              </w:rPr>
            </w:pPr>
            <w:r>
              <w:rPr>
                <w:color w:val="000000"/>
                <w:kern w:val="0"/>
                <w:szCs w:val="21"/>
              </w:rPr>
              <w:t>——</w:t>
            </w:r>
          </w:p>
        </w:tc>
        <w:tc>
          <w:tcPr>
            <w:tcW w:w="1162" w:type="dxa"/>
            <w:noWrap w:val="0"/>
            <w:vAlign w:val="center"/>
          </w:tcPr>
          <w:p>
            <w:pPr>
              <w:adjustRightInd w:val="0"/>
              <w:snapToGrid w:val="0"/>
              <w:jc w:val="center"/>
              <w:outlineLvl w:val="1"/>
              <w:rPr>
                <w:color w:val="000000"/>
                <w:kern w:val="0"/>
                <w:szCs w:val="21"/>
              </w:rPr>
            </w:pPr>
            <w:r>
              <w:rPr>
                <w:color w:val="000000"/>
                <w:kern w:val="0"/>
                <w:szCs w:val="21"/>
              </w:rPr>
              <w:t>——</w:t>
            </w:r>
          </w:p>
        </w:tc>
        <w:tc>
          <w:tcPr>
            <w:tcW w:w="1471" w:type="dxa"/>
            <w:noWrap w:val="0"/>
            <w:vAlign w:val="center"/>
          </w:tcPr>
          <w:p>
            <w:pPr>
              <w:adjustRightInd w:val="0"/>
              <w:snapToGrid w:val="0"/>
              <w:jc w:val="center"/>
              <w:outlineLvl w:val="1"/>
              <w:rPr>
                <w:color w:val="000000"/>
                <w:kern w:val="0"/>
                <w:szCs w:val="21"/>
              </w:rPr>
            </w:pPr>
          </w:p>
        </w:tc>
        <w:tc>
          <w:tcPr>
            <w:tcW w:w="1648" w:type="dxa"/>
            <w:noWrap w:val="0"/>
            <w:vAlign w:val="center"/>
          </w:tcPr>
          <w:p>
            <w:pPr>
              <w:adjustRightInd w:val="0"/>
              <w:snapToGrid w:val="0"/>
              <w:jc w:val="center"/>
              <w:outlineLvl w:val="1"/>
              <w:rPr>
                <w:color w:val="000000"/>
                <w:kern w:val="0"/>
                <w:szCs w:val="21"/>
              </w:rPr>
            </w:pPr>
            <w:r>
              <w:rPr>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18" w:type="dxa"/>
            <w:vMerge w:val="continue"/>
            <w:noWrap w:val="0"/>
            <w:vAlign w:val="center"/>
          </w:tcPr>
          <w:p>
            <w:pPr>
              <w:widowControl/>
              <w:adjustRightInd w:val="0"/>
              <w:snapToGrid w:val="0"/>
              <w:jc w:val="center"/>
              <w:textAlignment w:val="center"/>
              <w:rPr>
                <w:color w:val="000000"/>
                <w:kern w:val="0"/>
                <w:szCs w:val="21"/>
              </w:rPr>
            </w:pPr>
          </w:p>
        </w:tc>
        <w:tc>
          <w:tcPr>
            <w:tcW w:w="3049" w:type="dxa"/>
            <w:noWrap w:val="0"/>
            <w:vAlign w:val="center"/>
          </w:tcPr>
          <w:p>
            <w:pPr>
              <w:widowControl/>
              <w:adjustRightInd w:val="0"/>
              <w:snapToGrid w:val="0"/>
              <w:ind w:left="630" w:hanging="948" w:hangingChars="300"/>
              <w:jc w:val="center"/>
              <w:textAlignment w:val="top"/>
              <w:rPr>
                <w:color w:val="000000"/>
                <w:kern w:val="0"/>
                <w:szCs w:val="21"/>
              </w:rPr>
            </w:pPr>
            <w:r>
              <w:rPr>
                <w:color w:val="000000"/>
                <w:kern w:val="0"/>
                <w:szCs w:val="21"/>
              </w:rPr>
              <w:t>其中：应届毕业生满意度</w:t>
            </w:r>
          </w:p>
        </w:tc>
        <w:tc>
          <w:tcPr>
            <w:tcW w:w="729" w:type="dxa"/>
            <w:noWrap w:val="0"/>
            <w:vAlign w:val="center"/>
          </w:tcPr>
          <w:p>
            <w:pPr>
              <w:adjustRightInd w:val="0"/>
              <w:snapToGrid w:val="0"/>
              <w:jc w:val="center"/>
              <w:outlineLvl w:val="1"/>
              <w:rPr>
                <w:color w:val="000000"/>
                <w:kern w:val="0"/>
                <w:szCs w:val="21"/>
              </w:rPr>
            </w:pPr>
            <w:r>
              <w:rPr>
                <w:color w:val="000000"/>
                <w:kern w:val="0"/>
                <w:szCs w:val="21"/>
              </w:rPr>
              <w:t>%</w:t>
            </w:r>
          </w:p>
        </w:tc>
        <w:tc>
          <w:tcPr>
            <w:tcW w:w="1162" w:type="dxa"/>
            <w:noWrap w:val="0"/>
            <w:vAlign w:val="center"/>
          </w:tcPr>
          <w:p>
            <w:pPr>
              <w:adjustRightInd w:val="0"/>
              <w:snapToGrid w:val="0"/>
              <w:jc w:val="center"/>
              <w:outlineLvl w:val="1"/>
              <w:rPr>
                <w:color w:val="000000"/>
                <w:kern w:val="0"/>
                <w:szCs w:val="21"/>
              </w:rPr>
            </w:pPr>
            <w:r>
              <w:rPr>
                <w:rFonts w:hint="eastAsia"/>
                <w:color w:val="000000"/>
                <w:kern w:val="0"/>
                <w:szCs w:val="21"/>
              </w:rPr>
              <w:t>93</w:t>
            </w:r>
          </w:p>
        </w:tc>
        <w:tc>
          <w:tcPr>
            <w:tcW w:w="1471" w:type="dxa"/>
            <w:noWrap w:val="0"/>
            <w:vAlign w:val="center"/>
          </w:tcPr>
          <w:p>
            <w:pPr>
              <w:adjustRightInd w:val="0"/>
              <w:snapToGrid w:val="0"/>
              <w:jc w:val="center"/>
              <w:outlineLvl w:val="1"/>
              <w:rPr>
                <w:color w:val="000000"/>
                <w:kern w:val="0"/>
                <w:szCs w:val="21"/>
              </w:rPr>
            </w:pPr>
            <w:r>
              <w:rPr>
                <w:rFonts w:hint="eastAsia"/>
                <w:color w:val="000000"/>
                <w:kern w:val="0"/>
                <w:szCs w:val="21"/>
              </w:rPr>
              <w:t>218</w:t>
            </w:r>
          </w:p>
        </w:tc>
        <w:tc>
          <w:tcPr>
            <w:tcW w:w="1648" w:type="dxa"/>
            <w:noWrap w:val="0"/>
            <w:vAlign w:val="center"/>
          </w:tcPr>
          <w:p>
            <w:pPr>
              <w:adjustRightInd w:val="0"/>
              <w:snapToGrid w:val="0"/>
              <w:jc w:val="center"/>
              <w:outlineLvl w:val="1"/>
              <w:rPr>
                <w:color w:val="000000"/>
                <w:kern w:val="0"/>
                <w:szCs w:val="21"/>
              </w:rPr>
            </w:pPr>
            <w:r>
              <w:rPr>
                <w:rFonts w:hint="eastAsia"/>
                <w:color w:val="000000"/>
                <w:kern w:val="0"/>
                <w:szCs w:val="21"/>
              </w:rPr>
              <w:t>电话询问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18" w:type="dxa"/>
            <w:vMerge w:val="continue"/>
            <w:noWrap w:val="0"/>
            <w:vAlign w:val="center"/>
          </w:tcPr>
          <w:p>
            <w:pPr>
              <w:widowControl/>
              <w:adjustRightInd w:val="0"/>
              <w:snapToGrid w:val="0"/>
              <w:jc w:val="center"/>
              <w:textAlignment w:val="center"/>
              <w:rPr>
                <w:color w:val="000000"/>
                <w:kern w:val="0"/>
                <w:szCs w:val="21"/>
              </w:rPr>
            </w:pPr>
          </w:p>
        </w:tc>
        <w:tc>
          <w:tcPr>
            <w:tcW w:w="3049" w:type="dxa"/>
            <w:noWrap w:val="0"/>
            <w:vAlign w:val="center"/>
          </w:tcPr>
          <w:p>
            <w:pPr>
              <w:widowControl/>
              <w:adjustRightInd w:val="0"/>
              <w:snapToGrid w:val="0"/>
              <w:jc w:val="center"/>
              <w:textAlignment w:val="top"/>
              <w:rPr>
                <w:color w:val="000000"/>
                <w:kern w:val="0"/>
                <w:szCs w:val="21"/>
              </w:rPr>
            </w:pPr>
            <w:r>
              <w:rPr>
                <w:color w:val="000000"/>
                <w:kern w:val="0"/>
                <w:szCs w:val="21"/>
              </w:rPr>
              <w:t>毕业三年内毕业生满意度</w:t>
            </w:r>
          </w:p>
        </w:tc>
        <w:tc>
          <w:tcPr>
            <w:tcW w:w="729" w:type="dxa"/>
            <w:noWrap w:val="0"/>
            <w:vAlign w:val="center"/>
          </w:tcPr>
          <w:p>
            <w:pPr>
              <w:adjustRightInd w:val="0"/>
              <w:snapToGrid w:val="0"/>
              <w:jc w:val="center"/>
              <w:outlineLvl w:val="1"/>
              <w:rPr>
                <w:color w:val="000000"/>
                <w:kern w:val="0"/>
                <w:szCs w:val="21"/>
              </w:rPr>
            </w:pPr>
            <w:r>
              <w:rPr>
                <w:color w:val="000000"/>
                <w:kern w:val="0"/>
                <w:szCs w:val="21"/>
              </w:rPr>
              <w:t>%</w:t>
            </w:r>
          </w:p>
        </w:tc>
        <w:tc>
          <w:tcPr>
            <w:tcW w:w="1162" w:type="dxa"/>
            <w:noWrap w:val="0"/>
            <w:vAlign w:val="center"/>
          </w:tcPr>
          <w:p>
            <w:pPr>
              <w:adjustRightInd w:val="0"/>
              <w:snapToGrid w:val="0"/>
              <w:jc w:val="center"/>
              <w:outlineLvl w:val="1"/>
              <w:rPr>
                <w:color w:val="000000"/>
                <w:kern w:val="0"/>
                <w:szCs w:val="21"/>
              </w:rPr>
            </w:pPr>
            <w:r>
              <w:rPr>
                <w:rFonts w:hint="eastAsia"/>
                <w:color w:val="000000"/>
                <w:kern w:val="0"/>
                <w:szCs w:val="21"/>
              </w:rPr>
              <w:t>92</w:t>
            </w:r>
          </w:p>
        </w:tc>
        <w:tc>
          <w:tcPr>
            <w:tcW w:w="1471" w:type="dxa"/>
            <w:noWrap w:val="0"/>
            <w:vAlign w:val="center"/>
          </w:tcPr>
          <w:p>
            <w:pPr>
              <w:adjustRightInd w:val="0"/>
              <w:snapToGrid w:val="0"/>
              <w:jc w:val="center"/>
              <w:outlineLvl w:val="1"/>
              <w:rPr>
                <w:color w:val="000000"/>
                <w:kern w:val="0"/>
                <w:szCs w:val="21"/>
              </w:rPr>
            </w:pPr>
            <w:r>
              <w:rPr>
                <w:rFonts w:hint="eastAsia"/>
                <w:color w:val="000000"/>
                <w:kern w:val="0"/>
                <w:szCs w:val="21"/>
              </w:rPr>
              <w:t>48</w:t>
            </w:r>
          </w:p>
        </w:tc>
        <w:tc>
          <w:tcPr>
            <w:tcW w:w="1648" w:type="dxa"/>
            <w:noWrap w:val="0"/>
            <w:vAlign w:val="center"/>
          </w:tcPr>
          <w:p>
            <w:pPr>
              <w:adjustRightInd w:val="0"/>
              <w:snapToGrid w:val="0"/>
              <w:jc w:val="center"/>
              <w:outlineLvl w:val="1"/>
              <w:rPr>
                <w:color w:val="000000"/>
                <w:kern w:val="0"/>
                <w:szCs w:val="21"/>
              </w:rPr>
            </w:pPr>
            <w:r>
              <w:rPr>
                <w:rFonts w:hint="eastAsia"/>
                <w:color w:val="000000"/>
                <w:kern w:val="0"/>
                <w:szCs w:val="21"/>
              </w:rPr>
              <w:t>电话询问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18" w:type="dxa"/>
            <w:noWrap w:val="0"/>
            <w:vAlign w:val="center"/>
          </w:tcPr>
          <w:p>
            <w:pPr>
              <w:widowControl/>
              <w:adjustRightInd w:val="0"/>
              <w:snapToGrid w:val="0"/>
              <w:jc w:val="center"/>
              <w:textAlignment w:val="center"/>
              <w:rPr>
                <w:color w:val="000000"/>
                <w:kern w:val="0"/>
                <w:szCs w:val="21"/>
              </w:rPr>
            </w:pPr>
            <w:r>
              <w:rPr>
                <w:color w:val="000000"/>
                <w:kern w:val="0"/>
                <w:szCs w:val="21"/>
              </w:rPr>
              <w:t>3</w:t>
            </w:r>
          </w:p>
        </w:tc>
        <w:tc>
          <w:tcPr>
            <w:tcW w:w="3049" w:type="dxa"/>
            <w:noWrap w:val="0"/>
            <w:vAlign w:val="center"/>
          </w:tcPr>
          <w:p>
            <w:pPr>
              <w:widowControl/>
              <w:adjustRightInd w:val="0"/>
              <w:snapToGrid w:val="0"/>
              <w:jc w:val="center"/>
              <w:textAlignment w:val="top"/>
              <w:rPr>
                <w:color w:val="000000"/>
                <w:kern w:val="0"/>
                <w:szCs w:val="21"/>
              </w:rPr>
            </w:pPr>
            <w:r>
              <w:rPr>
                <w:color w:val="000000"/>
                <w:kern w:val="0"/>
                <w:szCs w:val="21"/>
              </w:rPr>
              <w:t>教职工满意度</w:t>
            </w:r>
          </w:p>
        </w:tc>
        <w:tc>
          <w:tcPr>
            <w:tcW w:w="729" w:type="dxa"/>
            <w:noWrap w:val="0"/>
            <w:vAlign w:val="center"/>
          </w:tcPr>
          <w:p>
            <w:pPr>
              <w:adjustRightInd w:val="0"/>
              <w:snapToGrid w:val="0"/>
              <w:jc w:val="center"/>
              <w:outlineLvl w:val="1"/>
              <w:rPr>
                <w:color w:val="000000"/>
                <w:kern w:val="0"/>
                <w:szCs w:val="21"/>
              </w:rPr>
            </w:pPr>
            <w:r>
              <w:rPr>
                <w:color w:val="000000"/>
                <w:kern w:val="0"/>
                <w:szCs w:val="21"/>
              </w:rPr>
              <w:t>%</w:t>
            </w:r>
          </w:p>
        </w:tc>
        <w:tc>
          <w:tcPr>
            <w:tcW w:w="1162" w:type="dxa"/>
            <w:noWrap w:val="0"/>
            <w:vAlign w:val="center"/>
          </w:tcPr>
          <w:p>
            <w:pPr>
              <w:adjustRightInd w:val="0"/>
              <w:snapToGrid w:val="0"/>
              <w:jc w:val="center"/>
              <w:outlineLvl w:val="1"/>
              <w:rPr>
                <w:color w:val="000000"/>
                <w:kern w:val="0"/>
                <w:szCs w:val="21"/>
              </w:rPr>
            </w:pPr>
            <w:r>
              <w:rPr>
                <w:rFonts w:hint="eastAsia"/>
                <w:color w:val="000000"/>
                <w:kern w:val="0"/>
                <w:szCs w:val="21"/>
              </w:rPr>
              <w:t>96</w:t>
            </w:r>
          </w:p>
        </w:tc>
        <w:tc>
          <w:tcPr>
            <w:tcW w:w="1471" w:type="dxa"/>
            <w:noWrap w:val="0"/>
            <w:vAlign w:val="center"/>
          </w:tcPr>
          <w:p>
            <w:pPr>
              <w:adjustRightInd w:val="0"/>
              <w:snapToGrid w:val="0"/>
              <w:jc w:val="center"/>
              <w:outlineLvl w:val="1"/>
              <w:rPr>
                <w:color w:val="000000"/>
                <w:kern w:val="0"/>
                <w:szCs w:val="21"/>
              </w:rPr>
            </w:pPr>
            <w:r>
              <w:rPr>
                <w:rFonts w:hint="eastAsia"/>
                <w:color w:val="000000"/>
                <w:kern w:val="0"/>
                <w:szCs w:val="21"/>
              </w:rPr>
              <w:t>115</w:t>
            </w:r>
          </w:p>
        </w:tc>
        <w:tc>
          <w:tcPr>
            <w:tcW w:w="1648" w:type="dxa"/>
            <w:noWrap w:val="0"/>
            <w:vAlign w:val="center"/>
          </w:tcPr>
          <w:p>
            <w:pPr>
              <w:adjustRightInd w:val="0"/>
              <w:snapToGrid w:val="0"/>
              <w:jc w:val="center"/>
              <w:outlineLvl w:val="1"/>
              <w:rPr>
                <w:color w:val="000000"/>
                <w:kern w:val="0"/>
                <w:szCs w:val="21"/>
              </w:rPr>
            </w:pPr>
            <w:r>
              <w:rPr>
                <w:rFonts w:hint="eastAsia"/>
                <w:color w:val="000000"/>
                <w:kern w:val="0"/>
                <w:szCs w:val="21"/>
              </w:rPr>
              <w:t>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18" w:type="dxa"/>
            <w:noWrap w:val="0"/>
            <w:vAlign w:val="center"/>
          </w:tcPr>
          <w:p>
            <w:pPr>
              <w:widowControl/>
              <w:adjustRightInd w:val="0"/>
              <w:snapToGrid w:val="0"/>
              <w:jc w:val="center"/>
              <w:textAlignment w:val="center"/>
              <w:rPr>
                <w:color w:val="000000"/>
                <w:kern w:val="0"/>
                <w:szCs w:val="21"/>
              </w:rPr>
            </w:pPr>
            <w:r>
              <w:rPr>
                <w:color w:val="000000"/>
                <w:kern w:val="0"/>
                <w:szCs w:val="21"/>
              </w:rPr>
              <w:t>4</w:t>
            </w:r>
          </w:p>
        </w:tc>
        <w:tc>
          <w:tcPr>
            <w:tcW w:w="3049" w:type="dxa"/>
            <w:noWrap w:val="0"/>
            <w:vAlign w:val="center"/>
          </w:tcPr>
          <w:p>
            <w:pPr>
              <w:widowControl/>
              <w:adjustRightInd w:val="0"/>
              <w:snapToGrid w:val="0"/>
              <w:jc w:val="center"/>
              <w:textAlignment w:val="top"/>
              <w:rPr>
                <w:color w:val="000000"/>
                <w:kern w:val="0"/>
                <w:szCs w:val="21"/>
              </w:rPr>
            </w:pPr>
            <w:r>
              <w:rPr>
                <w:color w:val="000000"/>
                <w:kern w:val="0"/>
                <w:szCs w:val="21"/>
              </w:rPr>
              <w:t>用人单位满意度</w:t>
            </w:r>
          </w:p>
        </w:tc>
        <w:tc>
          <w:tcPr>
            <w:tcW w:w="729" w:type="dxa"/>
            <w:noWrap w:val="0"/>
            <w:vAlign w:val="center"/>
          </w:tcPr>
          <w:p>
            <w:pPr>
              <w:adjustRightInd w:val="0"/>
              <w:snapToGrid w:val="0"/>
              <w:jc w:val="center"/>
              <w:outlineLvl w:val="1"/>
              <w:rPr>
                <w:color w:val="000000"/>
                <w:kern w:val="0"/>
                <w:szCs w:val="21"/>
              </w:rPr>
            </w:pPr>
            <w:r>
              <w:rPr>
                <w:color w:val="000000"/>
                <w:kern w:val="0"/>
                <w:szCs w:val="21"/>
              </w:rPr>
              <w:t>%</w:t>
            </w:r>
          </w:p>
        </w:tc>
        <w:tc>
          <w:tcPr>
            <w:tcW w:w="1162" w:type="dxa"/>
            <w:noWrap w:val="0"/>
            <w:vAlign w:val="center"/>
          </w:tcPr>
          <w:p>
            <w:pPr>
              <w:adjustRightInd w:val="0"/>
              <w:snapToGrid w:val="0"/>
              <w:jc w:val="center"/>
              <w:outlineLvl w:val="1"/>
              <w:rPr>
                <w:color w:val="000000"/>
                <w:kern w:val="0"/>
                <w:szCs w:val="21"/>
              </w:rPr>
            </w:pPr>
            <w:r>
              <w:rPr>
                <w:rFonts w:hint="eastAsia"/>
                <w:color w:val="000000"/>
                <w:kern w:val="0"/>
                <w:szCs w:val="21"/>
              </w:rPr>
              <w:t>92</w:t>
            </w:r>
          </w:p>
        </w:tc>
        <w:tc>
          <w:tcPr>
            <w:tcW w:w="1471" w:type="dxa"/>
            <w:noWrap w:val="0"/>
            <w:vAlign w:val="center"/>
          </w:tcPr>
          <w:p>
            <w:pPr>
              <w:adjustRightInd w:val="0"/>
              <w:snapToGrid w:val="0"/>
              <w:jc w:val="center"/>
              <w:outlineLvl w:val="1"/>
              <w:rPr>
                <w:color w:val="000000"/>
                <w:kern w:val="0"/>
                <w:szCs w:val="21"/>
              </w:rPr>
            </w:pPr>
            <w:r>
              <w:rPr>
                <w:rFonts w:hint="eastAsia"/>
                <w:color w:val="000000"/>
                <w:kern w:val="0"/>
                <w:szCs w:val="21"/>
              </w:rPr>
              <w:t>52</w:t>
            </w:r>
          </w:p>
        </w:tc>
        <w:tc>
          <w:tcPr>
            <w:tcW w:w="1648" w:type="dxa"/>
            <w:noWrap w:val="0"/>
            <w:vAlign w:val="center"/>
          </w:tcPr>
          <w:p>
            <w:pPr>
              <w:adjustRightInd w:val="0"/>
              <w:snapToGrid w:val="0"/>
              <w:jc w:val="center"/>
              <w:outlineLvl w:val="1"/>
              <w:rPr>
                <w:color w:val="000000"/>
                <w:kern w:val="0"/>
                <w:szCs w:val="21"/>
              </w:rPr>
            </w:pPr>
            <w:r>
              <w:rPr>
                <w:rFonts w:hint="eastAsia"/>
                <w:color w:val="000000"/>
                <w:kern w:val="0"/>
                <w:szCs w:val="21"/>
              </w:rPr>
              <w:t>电话询问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718" w:type="dxa"/>
            <w:noWrap w:val="0"/>
            <w:vAlign w:val="center"/>
          </w:tcPr>
          <w:p>
            <w:pPr>
              <w:widowControl/>
              <w:adjustRightInd w:val="0"/>
              <w:snapToGrid w:val="0"/>
              <w:jc w:val="center"/>
              <w:textAlignment w:val="center"/>
              <w:rPr>
                <w:color w:val="000000"/>
                <w:kern w:val="0"/>
                <w:szCs w:val="21"/>
              </w:rPr>
            </w:pPr>
            <w:r>
              <w:rPr>
                <w:color w:val="000000"/>
                <w:kern w:val="0"/>
                <w:szCs w:val="21"/>
              </w:rPr>
              <w:t>5</w:t>
            </w:r>
          </w:p>
        </w:tc>
        <w:tc>
          <w:tcPr>
            <w:tcW w:w="3049" w:type="dxa"/>
            <w:noWrap w:val="0"/>
            <w:vAlign w:val="center"/>
          </w:tcPr>
          <w:p>
            <w:pPr>
              <w:widowControl/>
              <w:adjustRightInd w:val="0"/>
              <w:snapToGrid w:val="0"/>
              <w:jc w:val="center"/>
              <w:textAlignment w:val="top"/>
              <w:rPr>
                <w:color w:val="000000"/>
                <w:kern w:val="0"/>
                <w:szCs w:val="21"/>
              </w:rPr>
            </w:pPr>
            <w:r>
              <w:rPr>
                <w:color w:val="000000"/>
                <w:kern w:val="0"/>
                <w:szCs w:val="21"/>
              </w:rPr>
              <w:t>家长满意度</w:t>
            </w:r>
          </w:p>
        </w:tc>
        <w:tc>
          <w:tcPr>
            <w:tcW w:w="729" w:type="dxa"/>
            <w:noWrap w:val="0"/>
            <w:vAlign w:val="center"/>
          </w:tcPr>
          <w:p>
            <w:pPr>
              <w:adjustRightInd w:val="0"/>
              <w:snapToGrid w:val="0"/>
              <w:jc w:val="center"/>
              <w:outlineLvl w:val="1"/>
              <w:rPr>
                <w:color w:val="000000"/>
                <w:kern w:val="0"/>
                <w:szCs w:val="21"/>
              </w:rPr>
            </w:pPr>
            <w:r>
              <w:rPr>
                <w:color w:val="000000"/>
                <w:kern w:val="0"/>
                <w:szCs w:val="21"/>
              </w:rPr>
              <w:t>%</w:t>
            </w:r>
          </w:p>
        </w:tc>
        <w:tc>
          <w:tcPr>
            <w:tcW w:w="1162" w:type="dxa"/>
            <w:noWrap w:val="0"/>
            <w:vAlign w:val="center"/>
          </w:tcPr>
          <w:p>
            <w:pPr>
              <w:adjustRightInd w:val="0"/>
              <w:snapToGrid w:val="0"/>
              <w:jc w:val="center"/>
              <w:outlineLvl w:val="1"/>
              <w:rPr>
                <w:color w:val="000000"/>
                <w:kern w:val="0"/>
                <w:szCs w:val="21"/>
              </w:rPr>
            </w:pPr>
            <w:r>
              <w:rPr>
                <w:rFonts w:hint="eastAsia"/>
                <w:color w:val="000000"/>
                <w:kern w:val="0"/>
                <w:szCs w:val="21"/>
              </w:rPr>
              <w:t>93</w:t>
            </w:r>
          </w:p>
        </w:tc>
        <w:tc>
          <w:tcPr>
            <w:tcW w:w="1471" w:type="dxa"/>
            <w:noWrap w:val="0"/>
            <w:vAlign w:val="center"/>
          </w:tcPr>
          <w:p>
            <w:pPr>
              <w:adjustRightInd w:val="0"/>
              <w:snapToGrid w:val="0"/>
              <w:jc w:val="center"/>
              <w:outlineLvl w:val="1"/>
              <w:rPr>
                <w:color w:val="000000"/>
                <w:kern w:val="0"/>
                <w:szCs w:val="21"/>
              </w:rPr>
            </w:pPr>
            <w:r>
              <w:rPr>
                <w:rFonts w:hint="eastAsia"/>
                <w:color w:val="000000"/>
                <w:kern w:val="0"/>
                <w:szCs w:val="21"/>
              </w:rPr>
              <w:t>865</w:t>
            </w:r>
          </w:p>
        </w:tc>
        <w:tc>
          <w:tcPr>
            <w:tcW w:w="1648" w:type="dxa"/>
            <w:noWrap w:val="0"/>
            <w:vAlign w:val="center"/>
          </w:tcPr>
          <w:p>
            <w:pPr>
              <w:adjustRightInd w:val="0"/>
              <w:snapToGrid w:val="0"/>
              <w:jc w:val="center"/>
              <w:outlineLvl w:val="1"/>
              <w:rPr>
                <w:color w:val="000000"/>
                <w:kern w:val="0"/>
                <w:szCs w:val="21"/>
              </w:rPr>
            </w:pPr>
            <w:r>
              <w:rPr>
                <w:rFonts w:hint="eastAsia"/>
                <w:color w:val="000000"/>
                <w:kern w:val="0"/>
                <w:szCs w:val="21"/>
              </w:rPr>
              <w:t>电话询问</w:t>
            </w:r>
          </w:p>
        </w:tc>
      </w:tr>
    </w:tbl>
    <w:p>
      <w:pPr>
        <w:pStyle w:val="2"/>
        <w:rPr>
          <w:rFonts w:hint="eastAsia" w:ascii="仿宋_GB2312" w:hAnsi="仿宋_GB2312" w:cs="仿宋_GB2312"/>
        </w:rPr>
      </w:pPr>
      <w:bookmarkStart w:id="0" w:name="_GoBack"/>
      <w:bookmarkEnd w:id="0"/>
    </w:p>
    <w:p>
      <w:pPr>
        <w:rPr>
          <w:rFonts w:hint="eastAsia"/>
        </w:rPr>
      </w:pPr>
    </w:p>
    <w:sectPr>
      <w:footerReference r:id="rId3" w:type="default"/>
      <w:pgSz w:w="11906" w:h="16838"/>
      <w:pgMar w:top="2098" w:right="1474" w:bottom="1814" w:left="1588" w:header="851" w:footer="992" w:gutter="0"/>
      <w:pgNumType w:fmt="numberInDash"/>
      <w:cols w:space="425" w:num="1"/>
      <w:titlePg/>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Nimbus Roman">
    <w:altName w:val="方正宋体S-超大字符集(SIP)"/>
    <w:panose1 w:val="00000000000000000000"/>
    <w:charset w:val="00"/>
    <w:family w:val="auto"/>
    <w:pitch w:val="default"/>
    <w:sig w:usb0="00000000" w:usb1="00000000" w:usb2="00000000" w:usb3="00000000" w:csb0="6000009F"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53653"/>
      <w:docPartObj>
        <w:docPartGallery w:val="AutoText"/>
      </w:docPartObj>
    </w:sdtPr>
    <w:sdtContent>
      <w:p>
        <w:pPr>
          <w:pStyle w:val="3"/>
          <w:jc w:val="center"/>
        </w:pPr>
        <w:r>
          <w:rPr>
            <w:rFonts w:asciiTheme="minorEastAsia" w:hAnsiTheme="minorEastAsia"/>
            <w:sz w:val="28"/>
          </w:rPr>
          <w:fldChar w:fldCharType="begin"/>
        </w:r>
        <w:r>
          <w:rPr>
            <w:rFonts w:asciiTheme="minorEastAsia" w:hAnsiTheme="minorEastAsia"/>
            <w:sz w:val="28"/>
          </w:rPr>
          <w:instrText xml:space="preserve"> PAGE   \* MERGEFORMAT </w:instrText>
        </w:r>
        <w:r>
          <w:rPr>
            <w:rFonts w:asciiTheme="minorEastAsia" w:hAnsiTheme="minorEastAsia"/>
            <w:sz w:val="28"/>
          </w:rPr>
          <w:fldChar w:fldCharType="separate"/>
        </w:r>
        <w:r>
          <w:rPr>
            <w:rFonts w:asciiTheme="minorEastAsia" w:hAnsiTheme="minorEastAsia"/>
            <w:sz w:val="28"/>
            <w:lang w:val="zh-CN"/>
          </w:rPr>
          <w:t>-</w:t>
        </w:r>
        <w:r>
          <w:rPr>
            <w:rFonts w:asciiTheme="minorEastAsia" w:hAnsiTheme="minorEastAsia"/>
            <w:sz w:val="28"/>
          </w:rPr>
          <w:t xml:space="preserve"> 15 -</w:t>
        </w:r>
        <w:r>
          <w:rPr>
            <w:rFonts w:asciiTheme="minorEastAsia" w:hAnsiTheme="minorEastAsia"/>
            <w:sz w:val="2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316"/>
  <w:drawingGridHorizontalSpacing w:val="158"/>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799A"/>
    <w:rsid w:val="00000518"/>
    <w:rsid w:val="00036D70"/>
    <w:rsid w:val="00042172"/>
    <w:rsid w:val="000841A9"/>
    <w:rsid w:val="000841C0"/>
    <w:rsid w:val="00093932"/>
    <w:rsid w:val="000E22CE"/>
    <w:rsid w:val="001341C6"/>
    <w:rsid w:val="00136C8F"/>
    <w:rsid w:val="00153A53"/>
    <w:rsid w:val="00166DF6"/>
    <w:rsid w:val="00216AAE"/>
    <w:rsid w:val="002676B5"/>
    <w:rsid w:val="002943B4"/>
    <w:rsid w:val="002A019E"/>
    <w:rsid w:val="002B3FE2"/>
    <w:rsid w:val="002B7105"/>
    <w:rsid w:val="002D2D1E"/>
    <w:rsid w:val="002E543E"/>
    <w:rsid w:val="002F5E82"/>
    <w:rsid w:val="00341745"/>
    <w:rsid w:val="003659DF"/>
    <w:rsid w:val="003660CD"/>
    <w:rsid w:val="0037349E"/>
    <w:rsid w:val="00373F85"/>
    <w:rsid w:val="00390ADD"/>
    <w:rsid w:val="003B04A7"/>
    <w:rsid w:val="003C586F"/>
    <w:rsid w:val="003D62A2"/>
    <w:rsid w:val="004112D1"/>
    <w:rsid w:val="004147FD"/>
    <w:rsid w:val="00437369"/>
    <w:rsid w:val="004401AA"/>
    <w:rsid w:val="00440579"/>
    <w:rsid w:val="00440A5F"/>
    <w:rsid w:val="004A46B9"/>
    <w:rsid w:val="004C662C"/>
    <w:rsid w:val="004D51F7"/>
    <w:rsid w:val="00514B51"/>
    <w:rsid w:val="00520782"/>
    <w:rsid w:val="00573559"/>
    <w:rsid w:val="00586E58"/>
    <w:rsid w:val="005E0207"/>
    <w:rsid w:val="006369A6"/>
    <w:rsid w:val="00640248"/>
    <w:rsid w:val="00642D8B"/>
    <w:rsid w:val="006558E2"/>
    <w:rsid w:val="006633BC"/>
    <w:rsid w:val="00671C7F"/>
    <w:rsid w:val="00683303"/>
    <w:rsid w:val="006937BB"/>
    <w:rsid w:val="00693ACB"/>
    <w:rsid w:val="00697DD2"/>
    <w:rsid w:val="006A32E2"/>
    <w:rsid w:val="006E0265"/>
    <w:rsid w:val="00707041"/>
    <w:rsid w:val="007418DD"/>
    <w:rsid w:val="00746611"/>
    <w:rsid w:val="00761267"/>
    <w:rsid w:val="007700F6"/>
    <w:rsid w:val="00780361"/>
    <w:rsid w:val="00790205"/>
    <w:rsid w:val="007A14F1"/>
    <w:rsid w:val="007C1779"/>
    <w:rsid w:val="007C67F5"/>
    <w:rsid w:val="008254F0"/>
    <w:rsid w:val="00830BD4"/>
    <w:rsid w:val="00877671"/>
    <w:rsid w:val="008863F5"/>
    <w:rsid w:val="00893660"/>
    <w:rsid w:val="00927252"/>
    <w:rsid w:val="009311AA"/>
    <w:rsid w:val="0095274E"/>
    <w:rsid w:val="00965234"/>
    <w:rsid w:val="0098350A"/>
    <w:rsid w:val="009A4EEB"/>
    <w:rsid w:val="009C4DAF"/>
    <w:rsid w:val="00A33304"/>
    <w:rsid w:val="00A40DE6"/>
    <w:rsid w:val="00A41934"/>
    <w:rsid w:val="00A83E6E"/>
    <w:rsid w:val="00A96075"/>
    <w:rsid w:val="00AD092D"/>
    <w:rsid w:val="00B155FC"/>
    <w:rsid w:val="00B173CB"/>
    <w:rsid w:val="00B452F8"/>
    <w:rsid w:val="00BA7DE2"/>
    <w:rsid w:val="00BE47A9"/>
    <w:rsid w:val="00C40EB7"/>
    <w:rsid w:val="00C51033"/>
    <w:rsid w:val="00C55C57"/>
    <w:rsid w:val="00C72FE3"/>
    <w:rsid w:val="00CD799A"/>
    <w:rsid w:val="00CF2481"/>
    <w:rsid w:val="00CF63AB"/>
    <w:rsid w:val="00D13C69"/>
    <w:rsid w:val="00D1726F"/>
    <w:rsid w:val="00D31CE8"/>
    <w:rsid w:val="00D859DE"/>
    <w:rsid w:val="00DB0C83"/>
    <w:rsid w:val="00DB458C"/>
    <w:rsid w:val="00DE38B1"/>
    <w:rsid w:val="00E72F92"/>
    <w:rsid w:val="00E7305A"/>
    <w:rsid w:val="00E95983"/>
    <w:rsid w:val="00E971F1"/>
    <w:rsid w:val="00F031E0"/>
    <w:rsid w:val="00F07630"/>
    <w:rsid w:val="00F213BA"/>
    <w:rsid w:val="00F770CC"/>
    <w:rsid w:val="00F774CD"/>
    <w:rsid w:val="00FB409E"/>
    <w:rsid w:val="00FD121B"/>
    <w:rsid w:val="00FD7B8E"/>
    <w:rsid w:val="BFFF9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spacing w:val="-2"/>
      <w:kern w:val="2"/>
      <w:sz w:val="32"/>
      <w:szCs w:val="3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pacing w:val="0"/>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pacing w:val="0"/>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标题 1 Char"/>
    <w:basedOn w:val="6"/>
    <w:link w:val="2"/>
    <w:qFormat/>
    <w:uiPriority w:val="9"/>
    <w:rPr>
      <w:rFonts w:ascii="Times New Roman" w:hAnsi="Times New Roman" w:eastAsia="仿宋_GB2312" w:cs="Times New Roman"/>
      <w:b/>
      <w:bCs/>
      <w:spacing w:val="-2"/>
      <w:kern w:val="44"/>
      <w:sz w:val="44"/>
      <w:szCs w:val="44"/>
    </w:rPr>
  </w:style>
  <w:style w:type="paragraph" w:styleId="10">
    <w:name w:val="No Spacing"/>
    <w:qFormat/>
    <w:uiPriority w:val="1"/>
    <w:pPr>
      <w:widowControl w:val="0"/>
      <w:jc w:val="both"/>
    </w:pPr>
    <w:rPr>
      <w:rFonts w:ascii="Times New Roman" w:hAnsi="Times New Roman" w:eastAsia="仿宋_GB2312" w:cs="Times New Roman"/>
      <w:spacing w:val="-2"/>
      <w:kern w:val="2"/>
      <w:sz w:val="32"/>
      <w:szCs w:val="32"/>
      <w:lang w:val="en-US" w:eastAsia="zh-CN" w:bidi="ar-SA"/>
    </w:rPr>
  </w:style>
  <w:style w:type="paragraph" w:styleId="11">
    <w:name w:val="Quote"/>
    <w:basedOn w:val="1"/>
    <w:next w:val="1"/>
    <w:link w:val="12"/>
    <w:qFormat/>
    <w:uiPriority w:val="29"/>
    <w:rPr>
      <w:i/>
      <w:iCs/>
      <w:color w:val="000000" w:themeColor="text1"/>
    </w:rPr>
  </w:style>
  <w:style w:type="character" w:customStyle="1" w:styleId="12">
    <w:name w:val="引用 Char"/>
    <w:basedOn w:val="6"/>
    <w:link w:val="11"/>
    <w:qFormat/>
    <w:uiPriority w:val="29"/>
    <w:rPr>
      <w:rFonts w:ascii="Times New Roman" w:hAnsi="Times New Roman" w:eastAsia="仿宋_GB2312" w:cs="Times New Roman"/>
      <w:i/>
      <w:iCs/>
      <w:color w:val="000000" w:themeColor="text1"/>
      <w:spacing w:val="-2"/>
      <w:sz w:val="32"/>
      <w:szCs w:val="32"/>
    </w:rPr>
  </w:style>
  <w:style w:type="character" w:customStyle="1" w:styleId="13">
    <w:name w:val="font31"/>
    <w:basedOn w:val="6"/>
    <w:qFormat/>
    <w:uiPriority w:val="0"/>
    <w:rPr>
      <w:rFonts w:hint="eastAsia" w:ascii="宋体" w:hAnsi="宋体" w:eastAsia="宋体" w:cs="宋体"/>
      <w:color w:val="C00000"/>
      <w:sz w:val="22"/>
      <w:szCs w:val="22"/>
      <w:u w:val="none"/>
    </w:rPr>
  </w:style>
  <w:style w:type="character" w:customStyle="1" w:styleId="14">
    <w:name w:val="font11"/>
    <w:basedOn w:val="6"/>
    <w:qFormat/>
    <w:uiPriority w:val="0"/>
    <w:rPr>
      <w:rFonts w:hint="eastAsia" w:ascii="宋体" w:hAnsi="宋体" w:eastAsia="宋体" w:cs="宋体"/>
      <w:b/>
      <w:bCs/>
      <w:color w:val="000000"/>
      <w:sz w:val="22"/>
      <w:szCs w:val="22"/>
      <w:u w:val="none"/>
    </w:rPr>
  </w:style>
  <w:style w:type="character" w:customStyle="1" w:styleId="15">
    <w:name w:val="font51"/>
    <w:basedOn w:val="6"/>
    <w:qFormat/>
    <w:uiPriority w:val="0"/>
    <w:rPr>
      <w:rFonts w:hint="eastAsia" w:ascii="宋体" w:hAnsi="宋体" w:eastAsia="宋体" w:cs="宋体"/>
      <w:b/>
      <w:bCs/>
      <w:color w:val="4BACC6"/>
      <w:sz w:val="22"/>
      <w:szCs w:val="22"/>
      <w:u w:val="none"/>
    </w:rPr>
  </w:style>
  <w:style w:type="character" w:customStyle="1" w:styleId="16">
    <w:name w:val="font91"/>
    <w:basedOn w:val="6"/>
    <w:qFormat/>
    <w:uiPriority w:val="0"/>
    <w:rPr>
      <w:rFonts w:hint="default" w:ascii="Times New Roman" w:hAnsi="Times New Roman" w:eastAsia="宋体" w:cs="Times New Roman"/>
      <w:b/>
      <w:bCs/>
      <w:color w:val="4BACC6"/>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24</Pages>
  <Words>1585</Words>
  <Characters>9037</Characters>
  <Lines>75</Lines>
  <Paragraphs>21</Paragraphs>
  <TotalTime>0</TotalTime>
  <ScaleCrop>false</ScaleCrop>
  <LinksUpToDate>false</LinksUpToDate>
  <CharactersWithSpaces>10601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2022-12-14T15:32:00Z</dcterms:created>
  <dc:creator>LENOVO</dc:creator>
  <cp:lastModifiedBy>user</cp:lastModifiedBy>
  <cp:lastPrinted>2022-12-25T15:53:00Z</cp:lastPrinted>
  <dcterms:modified xsi:type="dcterms:W3CDTF">2023-02-20T17:58:40Z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