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bCs/>
          <w:color w:val="auto"/>
          <w:sz w:val="44"/>
          <w:szCs w:val="44"/>
        </w:rPr>
      </w:pPr>
    </w:p>
    <w:p>
      <w:pPr>
        <w:jc w:val="both"/>
        <w:rPr>
          <w:rFonts w:hint="eastAsia" w:ascii="方正小标宋简体" w:hAnsi="方正小标宋简体" w:eastAsia="方正小标宋简体" w:cs="方正小标宋简体"/>
          <w:bCs/>
          <w:color w:val="auto"/>
          <w:sz w:val="44"/>
          <w:szCs w:val="44"/>
        </w:rPr>
      </w:pPr>
    </w:p>
    <w:p>
      <w:pPr>
        <w:jc w:val="center"/>
        <w:outlineLvl w:val="0"/>
        <w:rPr>
          <w:rFonts w:ascii="方正小标宋简体" w:hAnsi="方正小标宋简体" w:eastAsia="方正小标宋简体" w:cs="方正小标宋简体"/>
          <w:bCs/>
          <w:color w:val="auto"/>
          <w:sz w:val="44"/>
          <w:szCs w:val="44"/>
        </w:rPr>
      </w:pPr>
      <w:bookmarkStart w:id="0" w:name="_Toc23604"/>
      <w:r>
        <w:rPr>
          <w:rFonts w:hint="eastAsia" w:ascii="方正小标宋简体" w:hAnsi="方正小标宋简体" w:eastAsia="方正小标宋简体" w:cs="方正小标宋简体"/>
          <w:bCs/>
          <w:color w:val="auto"/>
          <w:sz w:val="44"/>
          <w:szCs w:val="44"/>
        </w:rPr>
        <w:t>韩城市职业中等专业学校</w:t>
      </w:r>
      <w:bookmarkEnd w:id="0"/>
    </w:p>
    <w:p>
      <w:pPr>
        <w:jc w:val="center"/>
        <w:rPr>
          <w:rFonts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rPr>
        <w:t>202</w:t>
      </w:r>
      <w:r>
        <w:rPr>
          <w:rFonts w:hint="eastAsia" w:ascii="方正小标宋简体" w:hAnsi="方正小标宋简体" w:eastAsia="方正小标宋简体" w:cs="方正小标宋简体"/>
          <w:bCs/>
          <w:color w:val="auto"/>
          <w:sz w:val="44"/>
          <w:szCs w:val="44"/>
          <w:lang w:val="en-US" w:eastAsia="zh-CN"/>
        </w:rPr>
        <w:t>3年</w:t>
      </w:r>
      <w:r>
        <w:rPr>
          <w:rFonts w:hint="eastAsia" w:ascii="方正小标宋简体" w:hAnsi="方正小标宋简体" w:eastAsia="方正小标宋简体" w:cs="方正小标宋简体"/>
          <w:bCs/>
          <w:color w:val="auto"/>
          <w:sz w:val="44"/>
          <w:szCs w:val="44"/>
        </w:rPr>
        <w:t>质量</w:t>
      </w:r>
      <w:r>
        <w:rPr>
          <w:rFonts w:hint="eastAsia" w:ascii="方正小标宋简体" w:hAnsi="方正小标宋简体" w:eastAsia="方正小标宋简体" w:cs="方正小标宋简体"/>
          <w:bCs/>
          <w:color w:val="auto"/>
          <w:sz w:val="44"/>
          <w:szCs w:val="44"/>
          <w:lang w:eastAsia="zh-CN"/>
        </w:rPr>
        <w:t>年</w:t>
      </w:r>
      <w:r>
        <w:rPr>
          <w:rFonts w:hint="eastAsia" w:ascii="方正小标宋简体" w:hAnsi="方正小标宋简体" w:eastAsia="方正小标宋简体" w:cs="方正小标宋简体"/>
          <w:bCs/>
          <w:color w:val="auto"/>
          <w:sz w:val="44"/>
          <w:szCs w:val="44"/>
        </w:rPr>
        <w:t>度报告</w:t>
      </w:r>
    </w:p>
    <w:p>
      <w:pPr>
        <w:jc w:val="center"/>
        <w:rPr>
          <w:rFonts w:hint="eastAsia" w:ascii="方正小标宋简体" w:hAnsi="方正小标宋简体" w:eastAsia="方正小标宋简体" w:cs="方正小标宋简体"/>
          <w:bCs/>
          <w:color w:val="auto"/>
          <w:sz w:val="44"/>
          <w:szCs w:val="44"/>
        </w:rPr>
      </w:pPr>
    </w:p>
    <w:p>
      <w:pPr>
        <w:pStyle w:val="2"/>
        <w:rPr>
          <w:rFonts w:hint="eastAsia" w:ascii="方正小标宋简体" w:hAnsi="方正小标宋简体" w:eastAsia="方正小标宋简体" w:cs="方正小标宋简体"/>
          <w:bCs/>
          <w:color w:val="auto"/>
          <w:sz w:val="44"/>
          <w:szCs w:val="44"/>
        </w:rPr>
      </w:pPr>
    </w:p>
    <w:p>
      <w:pPr>
        <w:pStyle w:val="2"/>
        <w:ind w:left="0" w:leftChars="0" w:firstLine="0" w:firstLineChars="0"/>
        <w:rPr>
          <w:rFonts w:hint="eastAsia" w:ascii="方正小标宋简体" w:hAnsi="方正小标宋简体" w:eastAsia="方正小标宋简体" w:cs="方正小标宋简体"/>
          <w:bCs/>
          <w:color w:val="auto"/>
          <w:sz w:val="44"/>
          <w:szCs w:val="44"/>
        </w:rPr>
      </w:pPr>
    </w:p>
    <w:p>
      <w:pPr>
        <w:pStyle w:val="3"/>
        <w:rPr>
          <w:rFonts w:hint="eastAsia" w:ascii="方正小标宋简体" w:hAnsi="方正小标宋简体" w:eastAsia="方正小标宋简体" w:cs="方正小标宋简体"/>
          <w:bCs/>
          <w:color w:val="auto"/>
          <w:sz w:val="44"/>
          <w:szCs w:val="44"/>
        </w:rPr>
      </w:pPr>
    </w:p>
    <w:p>
      <w:pPr>
        <w:rPr>
          <w:rFonts w:hint="eastAsia" w:ascii="方正小标宋简体" w:hAnsi="方正小标宋简体" w:eastAsia="方正小标宋简体" w:cs="方正小标宋简体"/>
          <w:bCs/>
          <w:color w:val="auto"/>
          <w:sz w:val="44"/>
          <w:szCs w:val="44"/>
        </w:rPr>
      </w:pPr>
    </w:p>
    <w:p>
      <w:pPr>
        <w:ind w:firstLine="1920" w:firstLineChars="600"/>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sz w:val="32"/>
          <w:szCs w:val="32"/>
          <w:lang w:eastAsia="zh-CN"/>
        </w:rPr>
        <w:t>报送单位</w:t>
      </w:r>
      <w:r>
        <w:rPr>
          <w:rFonts w:hint="eastAsia" w:ascii="宋体" w:hAnsi="宋体" w:eastAsia="宋体" w:cs="宋体"/>
          <w:b w:val="0"/>
          <w:bCs/>
          <w:color w:val="auto"/>
          <w:sz w:val="32"/>
          <w:szCs w:val="32"/>
          <w:u w:val="single"/>
          <w:lang w:val="en-US" w:eastAsia="zh-CN"/>
        </w:rPr>
        <w:t xml:space="preserve">   韩城市职业中等专业学校  </w:t>
      </w:r>
    </w:p>
    <w:p>
      <w:pPr>
        <w:ind w:firstLine="1920" w:firstLineChars="600"/>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sz w:val="32"/>
          <w:szCs w:val="32"/>
          <w:u w:val="none"/>
          <w:lang w:val="en-US" w:eastAsia="zh-CN"/>
        </w:rPr>
        <w:t>主要负责人</w:t>
      </w:r>
      <w:r>
        <w:rPr>
          <w:rFonts w:hint="eastAsia" w:ascii="宋体" w:hAnsi="宋体" w:eastAsia="宋体" w:cs="宋体"/>
          <w:b w:val="0"/>
          <w:bCs/>
          <w:color w:val="auto"/>
          <w:sz w:val="32"/>
          <w:szCs w:val="32"/>
          <w:u w:val="single"/>
          <w:lang w:val="en-US" w:eastAsia="zh-CN"/>
        </w:rPr>
        <w:t xml:space="preserve">      郭江荣             </w:t>
      </w:r>
    </w:p>
    <w:p>
      <w:pPr>
        <w:pStyle w:val="2"/>
        <w:ind w:firstLine="1920" w:firstLineChars="600"/>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sz w:val="32"/>
          <w:szCs w:val="32"/>
          <w:u w:val="none"/>
          <w:lang w:val="en-US" w:eastAsia="zh-CN"/>
        </w:rPr>
        <w:t>数据审核人</w:t>
      </w:r>
      <w:r>
        <w:rPr>
          <w:rFonts w:hint="eastAsia" w:ascii="宋体" w:hAnsi="宋体" w:eastAsia="宋体" w:cs="宋体"/>
          <w:b w:val="0"/>
          <w:bCs/>
          <w:color w:val="auto"/>
          <w:sz w:val="32"/>
          <w:szCs w:val="32"/>
          <w:u w:val="single"/>
          <w:lang w:val="en-US" w:eastAsia="zh-CN"/>
        </w:rPr>
        <w:t xml:space="preserve">      刘徐智             </w:t>
      </w:r>
    </w:p>
    <w:p>
      <w:pPr>
        <w:pStyle w:val="3"/>
        <w:ind w:firstLine="320" w:firstLineChars="100"/>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sz w:val="32"/>
          <w:szCs w:val="32"/>
          <w:u w:val="none"/>
          <w:lang w:val="en-US" w:eastAsia="zh-CN"/>
        </w:rPr>
        <w:t xml:space="preserve">联系人 </w:t>
      </w:r>
      <w:r>
        <w:rPr>
          <w:rFonts w:hint="eastAsia" w:ascii="宋体" w:hAnsi="宋体" w:eastAsia="宋体" w:cs="宋体"/>
          <w:b w:val="0"/>
          <w:bCs/>
          <w:color w:val="auto"/>
          <w:sz w:val="32"/>
          <w:szCs w:val="32"/>
          <w:u w:val="single"/>
          <w:lang w:val="en-US" w:eastAsia="zh-CN"/>
        </w:rPr>
        <w:t xml:space="preserve">         孙兴浩            </w:t>
      </w:r>
    </w:p>
    <w:p>
      <w:pPr>
        <w:ind w:firstLine="1920" w:firstLineChars="600"/>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sz w:val="32"/>
          <w:szCs w:val="32"/>
          <w:u w:val="none"/>
          <w:lang w:val="en-US" w:eastAsia="zh-CN"/>
        </w:rPr>
        <w:t>联系方式</w:t>
      </w:r>
      <w:r>
        <w:rPr>
          <w:rFonts w:hint="eastAsia" w:ascii="宋体" w:hAnsi="宋体" w:eastAsia="宋体" w:cs="宋体"/>
          <w:b w:val="0"/>
          <w:bCs/>
          <w:color w:val="auto"/>
          <w:sz w:val="32"/>
          <w:szCs w:val="32"/>
          <w:u w:val="single"/>
          <w:lang w:val="en-US" w:eastAsia="zh-CN"/>
        </w:rPr>
        <w:t xml:space="preserve">       0913-5293169        </w:t>
      </w:r>
    </w:p>
    <w:p>
      <w:pPr>
        <w:pStyle w:val="2"/>
        <w:ind w:firstLine="1920" w:firstLineChars="600"/>
        <w:rPr>
          <w:rFonts w:hint="eastAsia"/>
          <w:lang w:val="en-US" w:eastAsia="zh-CN"/>
        </w:rPr>
      </w:pPr>
      <w:r>
        <w:rPr>
          <w:rFonts w:hint="eastAsia" w:ascii="宋体" w:hAnsi="宋体" w:eastAsia="宋体" w:cs="宋体"/>
          <w:b w:val="0"/>
          <w:bCs/>
          <w:color w:val="auto"/>
          <w:sz w:val="32"/>
          <w:szCs w:val="32"/>
          <w:u w:val="none"/>
          <w:lang w:val="en-US" w:eastAsia="zh-CN"/>
        </w:rPr>
        <w:t>报送时间</w:t>
      </w:r>
      <w:r>
        <w:rPr>
          <w:rFonts w:hint="eastAsia" w:ascii="宋体" w:hAnsi="宋体" w:eastAsia="宋体" w:cs="宋体"/>
          <w:b w:val="0"/>
          <w:bCs/>
          <w:color w:val="auto"/>
          <w:sz w:val="32"/>
          <w:szCs w:val="32"/>
          <w:u w:val="single"/>
          <w:lang w:val="en-US" w:eastAsia="zh-CN"/>
        </w:rPr>
        <w:t xml:space="preserve">  2022   </w:t>
      </w:r>
      <w:r>
        <w:rPr>
          <w:rFonts w:hint="eastAsia" w:ascii="宋体" w:hAnsi="宋体" w:eastAsia="宋体" w:cs="宋体"/>
          <w:b w:val="0"/>
          <w:bCs/>
          <w:color w:val="auto"/>
          <w:sz w:val="32"/>
          <w:szCs w:val="32"/>
          <w:u w:val="none"/>
          <w:lang w:val="en-US" w:eastAsia="zh-CN"/>
        </w:rPr>
        <w:t>年</w:t>
      </w:r>
      <w:r>
        <w:rPr>
          <w:rFonts w:hint="eastAsia" w:ascii="宋体" w:hAnsi="宋体" w:eastAsia="宋体" w:cs="宋体"/>
          <w:b w:val="0"/>
          <w:bCs/>
          <w:color w:val="auto"/>
          <w:sz w:val="32"/>
          <w:szCs w:val="32"/>
          <w:u w:val="single"/>
          <w:lang w:val="en-US" w:eastAsia="zh-CN"/>
        </w:rPr>
        <w:t xml:space="preserve">  12  </w:t>
      </w:r>
      <w:r>
        <w:rPr>
          <w:rFonts w:hint="eastAsia" w:ascii="宋体" w:hAnsi="宋体" w:eastAsia="宋体" w:cs="宋体"/>
          <w:b w:val="0"/>
          <w:bCs/>
          <w:color w:val="auto"/>
          <w:sz w:val="32"/>
          <w:szCs w:val="32"/>
          <w:u w:val="none"/>
          <w:lang w:val="en-US" w:eastAsia="zh-CN"/>
        </w:rPr>
        <w:t>月</w:t>
      </w:r>
      <w:r>
        <w:rPr>
          <w:rFonts w:hint="eastAsia" w:ascii="宋体" w:hAnsi="宋体" w:eastAsia="宋体" w:cs="宋体"/>
          <w:b w:val="0"/>
          <w:bCs/>
          <w:color w:val="auto"/>
          <w:sz w:val="32"/>
          <w:szCs w:val="32"/>
          <w:u w:val="single"/>
          <w:lang w:val="en-US" w:eastAsia="zh-CN"/>
        </w:rPr>
        <w:t xml:space="preserve">  24  </w:t>
      </w:r>
      <w:r>
        <w:rPr>
          <w:rFonts w:hint="eastAsia" w:ascii="宋体" w:hAnsi="宋体" w:eastAsia="宋体" w:cs="宋体"/>
          <w:b w:val="0"/>
          <w:bCs/>
          <w:color w:val="auto"/>
          <w:sz w:val="32"/>
          <w:szCs w:val="32"/>
          <w:u w:val="none"/>
          <w:lang w:val="en-US" w:eastAsia="zh-CN"/>
        </w:rPr>
        <w:t>日</w:t>
      </w:r>
      <w:r>
        <w:rPr>
          <w:rFonts w:hint="eastAsia"/>
          <w:lang w:val="en-US" w:eastAsia="zh-CN"/>
        </w:rPr>
        <w:t xml:space="preserve">       </w:t>
      </w:r>
    </w:p>
    <w:p>
      <w:pPr>
        <w:pStyle w:val="2"/>
        <w:ind w:firstLine="1920" w:firstLineChars="600"/>
        <w:jc w:val="left"/>
        <w:rPr>
          <w:rFonts w:hint="eastAsia" w:ascii="宋体" w:hAnsi="宋体" w:eastAsia="宋体" w:cs="宋体"/>
          <w:b w:val="0"/>
          <w:bCs/>
          <w:color w:val="auto"/>
          <w:sz w:val="32"/>
          <w:szCs w:val="32"/>
          <w:u w:val="single"/>
          <w:lang w:val="en-US" w:eastAsia="zh-CN"/>
        </w:rPr>
      </w:pPr>
      <w:r>
        <w:rPr>
          <w:rFonts w:hint="eastAsia" w:ascii="宋体" w:hAnsi="宋体" w:eastAsia="宋体" w:cs="宋体"/>
          <w:b w:val="0"/>
          <w:bCs/>
          <w:color w:val="auto"/>
          <w:kern w:val="2"/>
          <w:sz w:val="32"/>
          <w:szCs w:val="32"/>
          <w:lang w:val="en-US" w:eastAsia="zh-CN" w:bidi="ar-SA"/>
        </w:rPr>
        <w:t>地市教育部门审核</w:t>
      </w:r>
      <w:r>
        <w:rPr>
          <w:rFonts w:hint="eastAsia" w:ascii="宋体" w:hAnsi="宋体" w:eastAsia="宋体" w:cs="宋体"/>
          <w:b w:val="0"/>
          <w:bCs/>
          <w:color w:val="auto"/>
          <w:sz w:val="32"/>
          <w:szCs w:val="32"/>
          <w:u w:val="single"/>
          <w:lang w:val="en-US" w:eastAsia="zh-CN"/>
        </w:rPr>
        <w:t xml:space="preserve">                   </w:t>
      </w:r>
    </w:p>
    <w:p>
      <w:pPr>
        <w:pStyle w:val="2"/>
        <w:ind w:left="0" w:leftChars="0" w:firstLine="0" w:firstLineChars="0"/>
        <w:jc w:val="center"/>
        <w:rPr>
          <w:rFonts w:hint="eastAsia" w:ascii="方正小标宋简体" w:hAnsi="方正小标宋简体" w:eastAsia="方正小标宋简体" w:cs="方正小标宋简体"/>
          <w:bCs/>
          <w:color w:val="auto"/>
          <w:sz w:val="44"/>
          <w:szCs w:val="44"/>
          <w:lang w:val="en-US" w:eastAsia="zh-CN"/>
        </w:rPr>
      </w:pPr>
      <w:r>
        <w:rPr>
          <w:rFonts w:hint="eastAsia" w:ascii="方正小标宋简体" w:hAnsi="方正小标宋简体" w:eastAsia="方正小标宋简体" w:cs="方正小标宋简体"/>
          <w:bCs/>
          <w:color w:val="auto"/>
          <w:sz w:val="44"/>
          <w:szCs w:val="44"/>
          <w:lang w:val="en-US" w:eastAsia="zh-CN"/>
        </w:rPr>
        <w:t>内容真实性责任声明</w:t>
      </w:r>
    </w:p>
    <w:p>
      <w:pPr>
        <w:pStyle w:val="3"/>
        <w:rPr>
          <w:rFonts w:hint="eastAsia" w:ascii="方正小标宋简体" w:hAnsi="方正小标宋简体" w:eastAsia="方正小标宋简体" w:cs="方正小标宋简体"/>
          <w:bCs/>
          <w:color w:val="auto"/>
          <w:sz w:val="44"/>
          <w:szCs w:val="44"/>
          <w:lang w:val="en-US" w:eastAsia="zh-CN"/>
        </w:rPr>
      </w:pPr>
    </w:p>
    <w:p>
      <w:pPr>
        <w:rPr>
          <w:rFonts w:hint="eastAsia"/>
          <w:lang w:val="en-US" w:eastAsia="zh-CN"/>
        </w:rPr>
      </w:pPr>
    </w:p>
    <w:p>
      <w:pPr>
        <w:pStyle w:val="2"/>
        <w:ind w:left="0" w:leftChars="0" w:firstLine="640" w:firstLineChars="200"/>
        <w:jc w:val="left"/>
        <w:rPr>
          <w:rFonts w:hint="eastAsia" w:ascii="宋体" w:hAnsi="宋体" w:eastAsia="宋体" w:cs="宋体"/>
          <w:b w:val="0"/>
          <w:bCs/>
          <w:color w:val="auto"/>
          <w:sz w:val="32"/>
          <w:szCs w:val="32"/>
          <w:u w:val="none"/>
          <w:lang w:val="en-US" w:eastAsia="zh-CN"/>
        </w:rPr>
      </w:pPr>
      <w:r>
        <w:rPr>
          <w:rFonts w:hint="eastAsia" w:ascii="宋体" w:hAnsi="宋体" w:eastAsia="宋体" w:cs="宋体"/>
          <w:bCs/>
          <w:color w:val="auto"/>
          <w:sz w:val="32"/>
          <w:szCs w:val="32"/>
          <w:lang w:val="en-US" w:eastAsia="zh-CN"/>
        </w:rPr>
        <w:t>学校对</w:t>
      </w:r>
      <w:r>
        <w:rPr>
          <w:rFonts w:hint="eastAsia" w:ascii="宋体" w:hAnsi="宋体" w:eastAsia="宋体" w:cs="宋体"/>
          <w:bCs/>
          <w:color w:val="auto"/>
          <w:sz w:val="32"/>
          <w:szCs w:val="32"/>
          <w:u w:val="single"/>
          <w:lang w:val="en-US" w:eastAsia="zh-CN"/>
        </w:rPr>
        <w:t xml:space="preserve">  </w:t>
      </w:r>
      <w:r>
        <w:rPr>
          <w:rFonts w:hint="eastAsia" w:ascii="宋体" w:hAnsi="宋体" w:eastAsia="宋体" w:cs="宋体"/>
          <w:b w:val="0"/>
          <w:bCs/>
          <w:color w:val="auto"/>
          <w:sz w:val="32"/>
          <w:szCs w:val="32"/>
          <w:u w:val="single"/>
          <w:lang w:val="en-US" w:eastAsia="zh-CN"/>
        </w:rPr>
        <w:t xml:space="preserve">韩城市职业中等专业学校   </w:t>
      </w:r>
      <w:r>
        <w:rPr>
          <w:rFonts w:hint="eastAsia" w:ascii="宋体" w:hAnsi="宋体" w:eastAsia="宋体" w:cs="宋体"/>
          <w:b w:val="0"/>
          <w:bCs/>
          <w:color w:val="auto"/>
          <w:sz w:val="32"/>
          <w:szCs w:val="32"/>
          <w:u w:val="none"/>
          <w:lang w:val="en-US" w:eastAsia="zh-CN"/>
        </w:rPr>
        <w:t>质量年度报告（2022）及相关附件的真实性、完整性和准确性负责。</w:t>
      </w:r>
    </w:p>
    <w:p>
      <w:pPr>
        <w:pStyle w:val="3"/>
        <w:ind w:left="0" w:leftChars="0" w:firstLine="560" w:firstLineChars="0"/>
        <w:rPr>
          <w:rFonts w:hint="eastAsia"/>
          <w:sz w:val="28"/>
          <w:szCs w:val="28"/>
          <w:lang w:val="en-US" w:eastAsia="zh-CN"/>
        </w:rPr>
      </w:pPr>
      <w:r>
        <w:rPr>
          <w:rFonts w:hint="eastAsia"/>
          <w:sz w:val="28"/>
          <w:szCs w:val="28"/>
          <w:lang w:val="en-US" w:eastAsia="zh-CN"/>
        </w:rPr>
        <w:t>特此声明。</w:t>
      </w:r>
    </w:p>
    <w:p>
      <w:pPr>
        <w:ind w:firstLine="560"/>
        <w:rPr>
          <w:rFonts w:hint="default"/>
          <w:lang w:val="en-US" w:eastAsia="zh-CN"/>
        </w:rPr>
      </w:pPr>
    </w:p>
    <w:p>
      <w:pPr>
        <w:pStyle w:val="2"/>
        <w:rPr>
          <w:rFonts w:hint="default"/>
          <w:lang w:val="en-US" w:eastAsia="zh-CN"/>
        </w:rPr>
      </w:pPr>
    </w:p>
    <w:p>
      <w:pPr>
        <w:pStyle w:val="3"/>
        <w:rPr>
          <w:rFonts w:hint="default"/>
          <w:lang w:val="en-US" w:eastAsia="zh-CN"/>
        </w:rPr>
      </w:pPr>
    </w:p>
    <w:p>
      <w:pPr>
        <w:rPr>
          <w:rFonts w:hint="default"/>
          <w:lang w:val="en-US" w:eastAsia="zh-CN"/>
        </w:rPr>
      </w:pPr>
    </w:p>
    <w:p>
      <w:pPr>
        <w:pStyle w:val="2"/>
        <w:rPr>
          <w:rFonts w:hint="default"/>
          <w:lang w:val="en-US" w:eastAsia="zh-CN"/>
        </w:rPr>
      </w:pPr>
    </w:p>
    <w:p>
      <w:pPr>
        <w:pStyle w:val="3"/>
        <w:rPr>
          <w:rFonts w:hint="default"/>
          <w:lang w:val="en-US" w:eastAsia="zh-CN"/>
        </w:rPr>
      </w:pPr>
    </w:p>
    <w:p>
      <w:pPr>
        <w:rPr>
          <w:rFonts w:hint="default"/>
          <w:lang w:val="en-US" w:eastAsia="zh-CN"/>
        </w:rPr>
      </w:pPr>
    </w:p>
    <w:p>
      <w:pPr>
        <w:pStyle w:val="2"/>
        <w:rPr>
          <w:rFonts w:hint="default"/>
          <w:lang w:val="en-US" w:eastAsia="zh-CN"/>
        </w:rPr>
      </w:pPr>
    </w:p>
    <w:p>
      <w:pPr>
        <w:pStyle w:val="3"/>
        <w:rPr>
          <w:rFonts w:hint="default"/>
          <w:lang w:val="en-US" w:eastAsia="zh-CN"/>
        </w:rPr>
      </w:pPr>
    </w:p>
    <w:p>
      <w:pPr>
        <w:rPr>
          <w:rFonts w:hint="default"/>
          <w:lang w:val="en-US" w:eastAsia="zh-CN"/>
        </w:rPr>
      </w:pPr>
    </w:p>
    <w:p>
      <w:pPr>
        <w:pStyle w:val="2"/>
        <w:rPr>
          <w:rFonts w:hint="default"/>
          <w:lang w:val="en-US" w:eastAsia="zh-CN"/>
        </w:rPr>
      </w:pPr>
    </w:p>
    <w:p>
      <w:pPr>
        <w:pStyle w:val="3"/>
        <w:rPr>
          <w:rFonts w:hint="default"/>
          <w:lang w:val="en-US" w:eastAsia="zh-CN"/>
        </w:rPr>
      </w:pPr>
    </w:p>
    <w:p>
      <w:pPr>
        <w:rPr>
          <w:rFonts w:hint="default"/>
          <w:lang w:val="en-US" w:eastAsia="zh-CN"/>
        </w:rPr>
      </w:pPr>
    </w:p>
    <w:p>
      <w:pPr>
        <w:pStyle w:val="2"/>
        <w:rPr>
          <w:rFonts w:hint="default"/>
          <w:lang w:val="en-US" w:eastAsia="zh-CN"/>
        </w:rPr>
      </w:pPr>
    </w:p>
    <w:p>
      <w:pPr>
        <w:pStyle w:val="3"/>
        <w:rPr>
          <w:rFonts w:hint="default"/>
          <w:lang w:val="en-US" w:eastAsia="zh-CN"/>
        </w:rPr>
      </w:pPr>
    </w:p>
    <w:p>
      <w:pPr>
        <w:rPr>
          <w:rFonts w:hint="default"/>
          <w:lang w:val="en-US" w:eastAsia="zh-CN"/>
        </w:rPr>
      </w:pPr>
    </w:p>
    <w:p>
      <w:pPr>
        <w:pStyle w:val="2"/>
        <w:rPr>
          <w:rFonts w:hint="default"/>
          <w:lang w:val="en-US" w:eastAsia="zh-CN"/>
        </w:rPr>
      </w:pPr>
    </w:p>
    <w:p>
      <w:pPr>
        <w:pStyle w:val="3"/>
        <w:jc w:val="center"/>
        <w:rPr>
          <w:rFonts w:hint="eastAsia" w:ascii="宋体" w:hAnsi="宋体" w:eastAsia="宋体" w:cs="宋体"/>
          <w:b w:val="0"/>
          <w:bCs/>
          <w:color w:val="auto"/>
          <w:kern w:val="2"/>
          <w:sz w:val="32"/>
          <w:szCs w:val="32"/>
          <w:u w:val="none"/>
          <w:lang w:val="en-US" w:eastAsia="zh-CN" w:bidi="ar-SA"/>
        </w:rPr>
      </w:pPr>
      <w:r>
        <w:rPr>
          <w:rFonts w:hint="eastAsia" w:ascii="宋体" w:hAnsi="宋体" w:eastAsia="宋体" w:cs="宋体"/>
          <w:b w:val="0"/>
          <w:bCs/>
          <w:color w:val="auto"/>
          <w:kern w:val="2"/>
          <w:sz w:val="32"/>
          <w:szCs w:val="32"/>
          <w:u w:val="none"/>
          <w:lang w:val="en-US" w:eastAsia="zh-CN" w:bidi="ar-SA"/>
        </w:rPr>
        <w:t>单位名称（盖章）：</w:t>
      </w:r>
    </w:p>
    <w:p>
      <w:pPr>
        <w:jc w:val="left"/>
        <w:rPr>
          <w:rFonts w:hint="eastAsia" w:ascii="宋体" w:hAnsi="宋体" w:eastAsia="宋体" w:cs="宋体"/>
          <w:b w:val="0"/>
          <w:bCs/>
          <w:color w:val="auto"/>
          <w:kern w:val="2"/>
          <w:sz w:val="32"/>
          <w:szCs w:val="32"/>
          <w:u w:val="none"/>
          <w:lang w:val="en-US" w:eastAsia="zh-CN" w:bidi="ar-SA"/>
        </w:rPr>
      </w:pPr>
      <w:r>
        <w:rPr>
          <w:rFonts w:hint="eastAsia" w:ascii="宋体" w:hAnsi="宋体" w:eastAsia="宋体" w:cs="宋体"/>
          <w:b w:val="0"/>
          <w:bCs/>
          <w:color w:val="auto"/>
          <w:kern w:val="2"/>
          <w:sz w:val="32"/>
          <w:szCs w:val="32"/>
          <w:u w:val="none"/>
          <w:lang w:val="en-US" w:eastAsia="zh-CN" w:bidi="ar-SA"/>
        </w:rPr>
        <w:t xml:space="preserve">                      法定代表人（签名）：</w:t>
      </w:r>
    </w:p>
    <w:p>
      <w:pPr>
        <w:rPr>
          <w:rFonts w:hint="eastAsia" w:ascii="宋体" w:hAnsi="宋体" w:eastAsia="宋体" w:cs="宋体"/>
          <w:b w:val="0"/>
          <w:bCs/>
          <w:color w:val="auto"/>
          <w:kern w:val="2"/>
          <w:sz w:val="32"/>
          <w:szCs w:val="32"/>
          <w:u w:val="none"/>
          <w:lang w:val="en-US" w:eastAsia="zh-CN" w:bidi="ar-SA"/>
        </w:rPr>
      </w:pPr>
    </w:p>
    <w:p>
      <w:pPr>
        <w:pStyle w:val="2"/>
        <w:jc w:val="left"/>
        <w:rPr>
          <w:rFonts w:hint="default" w:ascii="宋体" w:hAnsi="宋体" w:eastAsia="宋体" w:cs="宋体"/>
          <w:b w:val="0"/>
          <w:bCs/>
          <w:color w:val="auto"/>
          <w:kern w:val="2"/>
          <w:sz w:val="32"/>
          <w:szCs w:val="32"/>
          <w:u w:val="none"/>
          <w:lang w:val="en-US" w:eastAsia="zh-CN" w:bidi="ar-SA"/>
        </w:rPr>
      </w:pPr>
      <w:r>
        <w:rPr>
          <w:rFonts w:hint="eastAsia" w:ascii="宋体" w:hAnsi="宋体" w:eastAsia="宋体" w:cs="宋体"/>
          <w:b w:val="0"/>
          <w:bCs/>
          <w:color w:val="auto"/>
          <w:kern w:val="2"/>
          <w:sz w:val="32"/>
          <w:szCs w:val="32"/>
          <w:u w:val="none"/>
          <w:lang w:val="en-US" w:eastAsia="zh-CN" w:bidi="ar-SA"/>
        </w:rPr>
        <w:t xml:space="preserve">                            年    月    日</w:t>
      </w:r>
    </w:p>
    <w:p>
      <w:pPr>
        <w:pStyle w:val="3"/>
        <w:rPr>
          <w:rFonts w:hint="eastAsia"/>
          <w:lang w:val="en-US" w:eastAsia="zh-CN"/>
        </w:rPr>
      </w:pPr>
    </w:p>
    <w:p>
      <w:pPr>
        <w:pStyle w:val="3"/>
        <w:rPr>
          <w:rFonts w:hint="eastAsia"/>
          <w:lang w:val="en-US" w:eastAsia="zh-CN"/>
        </w:rPr>
      </w:pPr>
    </w:p>
    <w:p>
      <w:pPr>
        <w:jc w:val="center"/>
        <w:rPr>
          <w:rFonts w:hint="eastAsia" w:ascii="方正小标宋简体" w:hAnsi="方正小标宋简体" w:eastAsia="方正小标宋简体" w:cs="方正小标宋简体"/>
          <w:bCs/>
          <w:color w:val="auto"/>
          <w:sz w:val="44"/>
          <w:szCs w:val="44"/>
        </w:rPr>
      </w:pPr>
    </w:p>
    <w:p>
      <w:pPr>
        <w:spacing w:line="360" w:lineRule="auto"/>
        <w:jc w:val="center"/>
        <w:outlineLvl w:val="0"/>
        <w:rPr>
          <w:rFonts w:hint="eastAsia" w:ascii="方正小标宋简体" w:hAnsi="方正小标宋简体" w:eastAsia="方正小标宋简体" w:cs="方正小标宋简体"/>
          <w:bCs/>
          <w:color w:val="auto"/>
          <w:sz w:val="40"/>
          <w:szCs w:val="40"/>
          <w:lang w:eastAsia="zh-CN"/>
        </w:rPr>
      </w:pPr>
      <w:bookmarkStart w:id="1" w:name="_Toc29927"/>
      <w:r>
        <w:rPr>
          <w:rFonts w:hint="eastAsia" w:ascii="方正小标宋简体" w:hAnsi="方正小标宋简体" w:eastAsia="方正小标宋简体" w:cs="方正小标宋简体"/>
          <w:bCs/>
          <w:color w:val="auto"/>
          <w:sz w:val="40"/>
          <w:szCs w:val="40"/>
          <w:lang w:eastAsia="zh-CN"/>
        </w:rPr>
        <w:t>前</w:t>
      </w:r>
      <w:r>
        <w:rPr>
          <w:rFonts w:hint="eastAsia" w:ascii="方正小标宋简体" w:hAnsi="方正小标宋简体" w:eastAsia="方正小标宋简体" w:cs="方正小标宋简体"/>
          <w:bCs/>
          <w:color w:val="auto"/>
          <w:sz w:val="40"/>
          <w:szCs w:val="40"/>
          <w:lang w:val="en-US" w:eastAsia="zh-CN"/>
        </w:rPr>
        <w:t xml:space="preserve">  </w:t>
      </w:r>
      <w:r>
        <w:rPr>
          <w:rFonts w:hint="eastAsia" w:ascii="方正小标宋简体" w:hAnsi="方正小标宋简体" w:eastAsia="方正小标宋简体" w:cs="方正小标宋简体"/>
          <w:bCs/>
          <w:color w:val="auto"/>
          <w:sz w:val="40"/>
          <w:szCs w:val="40"/>
          <w:lang w:eastAsia="zh-CN"/>
        </w:rPr>
        <w:t>言</w:t>
      </w:r>
      <w:bookmarkEnd w:id="1"/>
    </w:p>
    <w:p>
      <w:pPr>
        <w:pStyle w:val="3"/>
        <w:ind w:left="0" w:leftChars="0" w:firstLine="0" w:firstLineChars="0"/>
        <w:rPr>
          <w:rFonts w:hint="eastAsia"/>
          <w:lang w:eastAsia="zh-CN"/>
        </w:rPr>
      </w:pPr>
    </w:p>
    <w:p>
      <w:pPr>
        <w:pStyle w:val="2"/>
        <w:spacing w:line="360" w:lineRule="auto"/>
        <w:rPr>
          <w:rFonts w:hint="eastAsia"/>
          <w:sz w:val="32"/>
          <w:szCs w:val="32"/>
          <w:lang w:eastAsia="zh-CN"/>
        </w:rPr>
      </w:pPr>
      <w:r>
        <w:rPr>
          <w:rFonts w:hint="eastAsia"/>
          <w:sz w:val="32"/>
          <w:szCs w:val="32"/>
          <w:lang w:eastAsia="zh-CN"/>
        </w:rPr>
        <w:t>根据教育部《关于做好 202</w:t>
      </w:r>
      <w:r>
        <w:rPr>
          <w:rFonts w:hint="eastAsia"/>
          <w:sz w:val="32"/>
          <w:szCs w:val="32"/>
          <w:lang w:val="en-US" w:eastAsia="zh-CN"/>
        </w:rPr>
        <w:t>3</w:t>
      </w:r>
      <w:r>
        <w:rPr>
          <w:rFonts w:hint="eastAsia"/>
          <w:sz w:val="32"/>
          <w:szCs w:val="32"/>
          <w:lang w:eastAsia="zh-CN"/>
        </w:rPr>
        <w:t xml:space="preserve"> 年职业教育质量年度报告编制、发布和报送工作的通知》精神和省教育厅《关于做好 202</w:t>
      </w:r>
      <w:r>
        <w:rPr>
          <w:rFonts w:hint="eastAsia"/>
          <w:sz w:val="32"/>
          <w:szCs w:val="32"/>
          <w:lang w:val="en-US" w:eastAsia="zh-CN"/>
        </w:rPr>
        <w:t>3</w:t>
      </w:r>
      <w:r>
        <w:rPr>
          <w:rFonts w:hint="eastAsia"/>
          <w:sz w:val="32"/>
          <w:szCs w:val="32"/>
          <w:lang w:eastAsia="zh-CN"/>
        </w:rPr>
        <w:t>年中等职业教育质量年度报告编制、发布和报送工作的通知》要求，韩城市职业中等专业学校现将 2021-2022 学年中等职业教育质量年度报告编制、发布和报送。</w:t>
      </w:r>
    </w:p>
    <w:p>
      <w:pPr>
        <w:pStyle w:val="2"/>
        <w:spacing w:line="360" w:lineRule="auto"/>
        <w:rPr>
          <w:rFonts w:hint="eastAsia"/>
          <w:sz w:val="32"/>
          <w:szCs w:val="32"/>
          <w:lang w:eastAsia="zh-CN"/>
        </w:rPr>
      </w:pPr>
      <w:r>
        <w:rPr>
          <w:rFonts w:hint="eastAsia"/>
          <w:sz w:val="32"/>
          <w:szCs w:val="32"/>
          <w:lang w:eastAsia="zh-CN"/>
        </w:rPr>
        <w:t>韩城市职业中等专业学校高度重视“年报”的编制发布和报送工作，严格遵循教育部及省教育厅的要求，提高认识，严把质量关，对编写质量、应用宣传及公开情况监督检查，充分发挥其对职业教育高质量发展的推动作用；认真组织，严把内容关，统筹安排学校各部门积极参与年报编写工作当中，对数据的真实性及准确性严格审核监督；规范报送，严把程序关，报送工作按环节进行，严守合规性。</w:t>
      </w:r>
    </w:p>
    <w:p>
      <w:pPr>
        <w:jc w:val="center"/>
        <w:rPr>
          <w:rFonts w:hint="eastAsia" w:ascii="方正小标宋简体" w:hAnsi="方正小标宋简体" w:eastAsia="方正小标宋简体" w:cs="方正小标宋简体"/>
          <w:bCs/>
          <w:color w:val="auto"/>
          <w:sz w:val="44"/>
          <w:szCs w:val="44"/>
        </w:rPr>
      </w:pPr>
    </w:p>
    <w:p>
      <w:pPr>
        <w:jc w:val="center"/>
        <w:rPr>
          <w:rFonts w:hint="eastAsia" w:ascii="方正小标宋简体" w:hAnsi="方正小标宋简体" w:eastAsia="方正小标宋简体" w:cs="方正小标宋简体"/>
          <w:bCs/>
          <w:color w:val="auto"/>
          <w:sz w:val="44"/>
          <w:szCs w:val="44"/>
        </w:rPr>
      </w:pPr>
    </w:p>
    <w:p>
      <w:pPr>
        <w:jc w:val="center"/>
        <w:rPr>
          <w:rFonts w:hint="eastAsia" w:ascii="方正小标宋简体" w:hAnsi="方正小标宋简体" w:eastAsia="方正小标宋简体" w:cs="方正小标宋简体"/>
          <w:bCs/>
          <w:color w:val="auto"/>
          <w:sz w:val="44"/>
          <w:szCs w:val="44"/>
        </w:rPr>
      </w:pPr>
    </w:p>
    <w:p>
      <w:pPr>
        <w:jc w:val="both"/>
        <w:rPr>
          <w:rFonts w:hint="eastAsia" w:ascii="方正小标宋简体" w:hAnsi="方正小标宋简体" w:eastAsia="方正小标宋简体" w:cs="方正小标宋简体"/>
          <w:bCs/>
          <w:color w:val="auto"/>
          <w:sz w:val="44"/>
          <w:szCs w:val="44"/>
        </w:rPr>
      </w:pPr>
    </w:p>
    <w:p>
      <w:pPr>
        <w:pStyle w:val="2"/>
        <w:rPr>
          <w:rFonts w:hint="eastAsia" w:ascii="方正小标宋简体" w:hAnsi="方正小标宋简体" w:eastAsia="方正小标宋简体" w:cs="方正小标宋简体"/>
          <w:bCs/>
          <w:color w:val="auto"/>
          <w:sz w:val="44"/>
          <w:szCs w:val="44"/>
        </w:rPr>
      </w:pPr>
    </w:p>
    <w:p>
      <w:pPr>
        <w:jc w:val="center"/>
      </w:pPr>
      <w:r>
        <w:rPr>
          <w:rFonts w:hint="eastAsia" w:ascii="方正小标宋简体" w:hAnsi="方正小标宋简体" w:eastAsia="方正小标宋简体" w:cs="方正小标宋简体"/>
          <w:bCs/>
          <w:color w:val="auto"/>
          <w:sz w:val="40"/>
          <w:szCs w:val="40"/>
          <w:lang w:eastAsia="zh-CN"/>
        </w:rPr>
        <w:t>目</w:t>
      </w:r>
      <w:r>
        <w:rPr>
          <w:rFonts w:hint="eastAsia" w:ascii="方正小标宋简体" w:hAnsi="方正小标宋简体" w:eastAsia="方正小标宋简体" w:cs="方正小标宋简体"/>
          <w:bCs/>
          <w:color w:val="auto"/>
          <w:sz w:val="40"/>
          <w:szCs w:val="40"/>
          <w:lang w:val="en-US" w:eastAsia="zh-CN"/>
        </w:rPr>
        <w:t xml:space="preserve">   </w:t>
      </w:r>
      <w:r>
        <w:rPr>
          <w:rFonts w:hint="eastAsia" w:ascii="方正小标宋简体" w:hAnsi="方正小标宋简体" w:eastAsia="方正小标宋简体" w:cs="方正小标宋简体"/>
          <w:bCs/>
          <w:color w:val="auto"/>
          <w:sz w:val="40"/>
          <w:szCs w:val="40"/>
          <w:lang w:eastAsia="zh-CN"/>
        </w:rPr>
        <w:t>录</w:t>
      </w:r>
    </w:p>
    <w:sdt>
      <w:sdtPr>
        <w:rPr>
          <w:rFonts w:ascii="宋体" w:hAnsi="宋体" w:eastAsia="宋体" w:cstheme="minorBidi"/>
          <w:kern w:val="2"/>
          <w:sz w:val="21"/>
          <w:szCs w:val="22"/>
          <w:lang w:val="en-US" w:eastAsia="zh-CN" w:bidi="ar-SA"/>
        </w:rPr>
        <w:id w:val="147465209"/>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jc w:val="center"/>
          </w:pPr>
          <w:r>
            <w:fldChar w:fldCharType="begin"/>
          </w:r>
          <w:r>
            <w:instrText xml:space="preserve">TOC \o "1-1" \h \u </w:instrText>
          </w:r>
          <w:r>
            <w:fldChar w:fldCharType="separate"/>
          </w:r>
        </w:p>
        <w:p>
          <w:pPr>
            <w:pStyle w:val="34"/>
            <w:tabs>
              <w:tab w:val="right" w:leader="dot" w:pos="8844"/>
            </w:tabs>
          </w:pPr>
          <w:r>
            <w:fldChar w:fldCharType="begin"/>
          </w:r>
          <w:r>
            <w:instrText xml:space="preserve"> HYPERLINK \l _Toc1755 </w:instrText>
          </w:r>
          <w:r>
            <w:fldChar w:fldCharType="separate"/>
          </w:r>
          <w:r>
            <w:rPr>
              <w:rFonts w:hint="eastAsia"/>
            </w:rPr>
            <w:t>1 学生发展质量</w:t>
          </w:r>
          <w:r>
            <w:tab/>
          </w:r>
          <w:r>
            <w:rPr>
              <w:rFonts w:hint="eastAsia"/>
              <w:lang w:val="en-US" w:eastAsia="zh-CN"/>
            </w:rPr>
            <w:t>2</w:t>
          </w:r>
          <w:r>
            <w:fldChar w:fldCharType="end"/>
          </w:r>
        </w:p>
        <w:p>
          <w:pPr>
            <w:pStyle w:val="34"/>
            <w:tabs>
              <w:tab w:val="right" w:leader="dot" w:pos="8844"/>
            </w:tabs>
          </w:pPr>
          <w:r>
            <w:fldChar w:fldCharType="begin"/>
          </w:r>
          <w:r>
            <w:instrText xml:space="preserve"> HYPERLINK \l _Toc23237 </w:instrText>
          </w:r>
          <w:r>
            <w:fldChar w:fldCharType="separate"/>
          </w:r>
          <w:r>
            <w:rPr>
              <w:rFonts w:hint="eastAsia"/>
            </w:rPr>
            <w:t>1.1党建引领</w:t>
          </w:r>
          <w:r>
            <w:tab/>
          </w:r>
          <w:r>
            <w:rPr>
              <w:rFonts w:hint="eastAsia"/>
              <w:lang w:val="en-US" w:eastAsia="zh-CN"/>
            </w:rPr>
            <w:t>2</w:t>
          </w:r>
          <w:r>
            <w:fldChar w:fldCharType="end"/>
          </w:r>
        </w:p>
        <w:p>
          <w:pPr>
            <w:pStyle w:val="34"/>
            <w:tabs>
              <w:tab w:val="right" w:leader="dot" w:pos="8844"/>
            </w:tabs>
            <w:rPr>
              <w:rFonts w:hint="eastAsia" w:eastAsia="宋体"/>
              <w:lang w:val="en-US" w:eastAsia="zh-CN"/>
            </w:rPr>
          </w:pPr>
          <w:r>
            <w:fldChar w:fldCharType="begin"/>
          </w:r>
          <w:r>
            <w:instrText xml:space="preserve"> HYPERLINK \l _Toc10218 </w:instrText>
          </w:r>
          <w:r>
            <w:fldChar w:fldCharType="separate"/>
          </w:r>
          <w:r>
            <w:rPr>
              <w:rFonts w:hint="eastAsia"/>
            </w:rPr>
            <w:t>1.2立德树人</w:t>
          </w:r>
          <w:r>
            <w:tab/>
          </w:r>
          <w:r>
            <w:rPr>
              <w:rFonts w:hint="eastAsia"/>
              <w:lang w:val="en-US" w:eastAsia="zh-CN"/>
            </w:rPr>
            <w:t>1</w:t>
          </w:r>
          <w:r>
            <w:fldChar w:fldCharType="end"/>
          </w:r>
          <w:r>
            <w:rPr>
              <w:rFonts w:hint="eastAsia"/>
              <w:lang w:val="en-US" w:eastAsia="zh-CN"/>
            </w:rPr>
            <w:t>2</w:t>
          </w:r>
        </w:p>
        <w:p>
          <w:pPr>
            <w:pStyle w:val="34"/>
            <w:tabs>
              <w:tab w:val="right" w:leader="dot" w:pos="8844"/>
            </w:tabs>
            <w:rPr>
              <w:rFonts w:hint="eastAsia" w:eastAsia="宋体"/>
              <w:lang w:val="en-US" w:eastAsia="zh-CN"/>
            </w:rPr>
          </w:pPr>
          <w:r>
            <w:fldChar w:fldCharType="begin"/>
          </w:r>
          <w:r>
            <w:instrText xml:space="preserve"> HYPERLINK \l _Toc29500 </w:instrText>
          </w:r>
          <w:r>
            <w:fldChar w:fldCharType="separate"/>
          </w:r>
          <w:r>
            <w:rPr>
              <w:rFonts w:hint="eastAsia"/>
            </w:rPr>
            <w:t>1.3在校体验</w:t>
          </w:r>
          <w:r>
            <w:tab/>
          </w:r>
          <w:r>
            <w:rPr>
              <w:rFonts w:hint="eastAsia"/>
              <w:lang w:val="en-US" w:eastAsia="zh-CN"/>
            </w:rPr>
            <w:t>2</w:t>
          </w:r>
          <w:r>
            <w:fldChar w:fldCharType="end"/>
          </w:r>
          <w:r>
            <w:rPr>
              <w:rFonts w:hint="eastAsia"/>
              <w:lang w:val="en-US" w:eastAsia="zh-CN"/>
            </w:rPr>
            <w:t>2</w:t>
          </w:r>
        </w:p>
        <w:p>
          <w:pPr>
            <w:pStyle w:val="34"/>
            <w:tabs>
              <w:tab w:val="right" w:leader="dot" w:pos="8844"/>
            </w:tabs>
            <w:rPr>
              <w:rFonts w:hint="eastAsia" w:eastAsia="宋体"/>
              <w:lang w:val="en-US" w:eastAsia="zh-CN"/>
            </w:rPr>
          </w:pPr>
          <w:r>
            <w:fldChar w:fldCharType="begin"/>
          </w:r>
          <w:r>
            <w:instrText xml:space="preserve"> HYPERLINK \l _Toc4273 </w:instrText>
          </w:r>
          <w:r>
            <w:fldChar w:fldCharType="separate"/>
          </w:r>
          <w:r>
            <w:rPr>
              <w:rFonts w:hint="eastAsia"/>
            </w:rPr>
            <w:t>1.4就业质量</w:t>
          </w:r>
          <w:r>
            <w:tab/>
          </w:r>
          <w:r>
            <w:rPr>
              <w:rFonts w:hint="eastAsia"/>
              <w:lang w:val="en-US" w:eastAsia="zh-CN"/>
            </w:rPr>
            <w:t>2</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_Toc13061 </w:instrText>
          </w:r>
          <w:r>
            <w:fldChar w:fldCharType="separate"/>
          </w:r>
          <w:r>
            <w:rPr>
              <w:rFonts w:hint="eastAsia"/>
            </w:rPr>
            <w:t>1.5创新创业</w:t>
          </w:r>
          <w:r>
            <w:tab/>
          </w:r>
          <w:r>
            <w:rPr>
              <w:rFonts w:hint="eastAsia"/>
              <w:lang w:val="en-US" w:eastAsia="zh-CN"/>
            </w:rPr>
            <w:t>2</w:t>
          </w:r>
          <w:r>
            <w:fldChar w:fldCharType="end"/>
          </w:r>
          <w:r>
            <w:rPr>
              <w:rFonts w:hint="eastAsia"/>
              <w:lang w:val="en-US" w:eastAsia="zh-CN"/>
            </w:rPr>
            <w:t>4</w:t>
          </w:r>
        </w:p>
        <w:p>
          <w:pPr>
            <w:pStyle w:val="34"/>
            <w:tabs>
              <w:tab w:val="right" w:leader="dot" w:pos="8844"/>
            </w:tabs>
            <w:rPr>
              <w:rFonts w:hint="eastAsia" w:eastAsia="宋体"/>
              <w:lang w:val="en-US" w:eastAsia="zh-CN"/>
            </w:rPr>
          </w:pPr>
          <w:r>
            <w:fldChar w:fldCharType="begin"/>
          </w:r>
          <w:r>
            <w:instrText xml:space="preserve"> HYPERLINK \l _Toc12574 </w:instrText>
          </w:r>
          <w:r>
            <w:fldChar w:fldCharType="separate"/>
          </w:r>
          <w:r>
            <w:rPr>
              <w:rFonts w:hint="eastAsia"/>
            </w:rPr>
            <w:t>1.6技能大赛</w:t>
          </w:r>
          <w:r>
            <w:tab/>
          </w:r>
          <w:r>
            <w:rPr>
              <w:rFonts w:hint="eastAsia"/>
              <w:lang w:val="en-US" w:eastAsia="zh-CN"/>
            </w:rPr>
            <w:t>2</w:t>
          </w:r>
          <w:r>
            <w:fldChar w:fldCharType="end"/>
          </w:r>
          <w:r>
            <w:rPr>
              <w:rFonts w:hint="eastAsia"/>
              <w:lang w:val="en-US" w:eastAsia="zh-CN"/>
            </w:rPr>
            <w:t>4</w:t>
          </w:r>
        </w:p>
        <w:p>
          <w:pPr>
            <w:pStyle w:val="34"/>
            <w:tabs>
              <w:tab w:val="right" w:leader="dot" w:pos="8844"/>
            </w:tabs>
            <w:rPr>
              <w:rFonts w:hint="eastAsia" w:eastAsia="宋体"/>
              <w:lang w:val="en-US" w:eastAsia="zh-CN"/>
            </w:rPr>
          </w:pPr>
          <w:r>
            <w:fldChar w:fldCharType="begin"/>
          </w:r>
          <w:r>
            <w:instrText xml:space="preserve"> HYPERLINK \l _Toc18436 </w:instrText>
          </w:r>
          <w:r>
            <w:fldChar w:fldCharType="separate"/>
          </w:r>
          <w:r>
            <w:rPr>
              <w:rFonts w:hint="eastAsia"/>
            </w:rPr>
            <w:t>2 教育教学质量</w:t>
          </w:r>
          <w:r>
            <w:tab/>
          </w:r>
          <w:r>
            <w:rPr>
              <w:rFonts w:hint="eastAsia"/>
              <w:lang w:val="en-US" w:eastAsia="zh-CN"/>
            </w:rPr>
            <w:t>2</w:t>
          </w:r>
          <w:r>
            <w:fldChar w:fldCharType="end"/>
          </w:r>
          <w:r>
            <w:rPr>
              <w:rFonts w:hint="eastAsia"/>
              <w:lang w:val="en-US" w:eastAsia="zh-CN"/>
            </w:rPr>
            <w:t>5</w:t>
          </w:r>
        </w:p>
        <w:p>
          <w:pPr>
            <w:pStyle w:val="34"/>
            <w:tabs>
              <w:tab w:val="right" w:leader="dot" w:pos="8844"/>
            </w:tabs>
            <w:rPr>
              <w:rFonts w:hint="eastAsia" w:eastAsia="宋体"/>
              <w:lang w:val="en-US" w:eastAsia="zh-CN"/>
            </w:rPr>
          </w:pPr>
          <w:r>
            <w:fldChar w:fldCharType="begin"/>
          </w:r>
          <w:r>
            <w:instrText xml:space="preserve"> HYPERLINK \l _Toc20083 </w:instrText>
          </w:r>
          <w:r>
            <w:fldChar w:fldCharType="separate"/>
          </w:r>
          <w:r>
            <w:rPr>
              <w:rFonts w:hint="eastAsia"/>
            </w:rPr>
            <w:t>2.1专业建设质量</w:t>
          </w:r>
          <w:r>
            <w:tab/>
          </w:r>
          <w:r>
            <w:rPr>
              <w:rFonts w:hint="eastAsia"/>
              <w:lang w:val="en-US" w:eastAsia="zh-CN"/>
            </w:rPr>
            <w:t>2</w:t>
          </w:r>
          <w:r>
            <w:fldChar w:fldCharType="end"/>
          </w:r>
          <w:r>
            <w:rPr>
              <w:rFonts w:hint="eastAsia"/>
              <w:lang w:val="en-US" w:eastAsia="zh-CN"/>
            </w:rPr>
            <w:t>5</w:t>
          </w:r>
        </w:p>
        <w:p>
          <w:pPr>
            <w:pStyle w:val="34"/>
            <w:tabs>
              <w:tab w:val="right" w:leader="dot" w:pos="8844"/>
            </w:tabs>
            <w:rPr>
              <w:rFonts w:hint="eastAsia" w:eastAsia="宋体"/>
              <w:lang w:val="en-US" w:eastAsia="zh-CN"/>
            </w:rPr>
          </w:pPr>
          <w:r>
            <w:fldChar w:fldCharType="begin"/>
          </w:r>
          <w:r>
            <w:instrText xml:space="preserve"> HYPERLINK \l _Toc7603 </w:instrText>
          </w:r>
          <w:r>
            <w:fldChar w:fldCharType="separate"/>
          </w:r>
          <w:r>
            <w:rPr>
              <w:rFonts w:hint="eastAsia"/>
            </w:rPr>
            <w:t>2.2课程建设质量</w:t>
          </w:r>
          <w:r>
            <w:tab/>
          </w:r>
          <w:r>
            <w:rPr>
              <w:rFonts w:hint="eastAsia"/>
              <w:lang w:val="en-US" w:eastAsia="zh-CN"/>
            </w:rPr>
            <w:t>2</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_Toc31862 </w:instrText>
          </w:r>
          <w:r>
            <w:fldChar w:fldCharType="separate"/>
          </w:r>
          <w:r>
            <w:rPr>
              <w:rFonts w:hint="eastAsia"/>
            </w:rPr>
            <w:t>2.3教学方法改革</w:t>
          </w:r>
          <w:r>
            <w:tab/>
          </w:r>
          <w:r>
            <w:rPr>
              <w:rFonts w:hint="eastAsia"/>
              <w:lang w:val="en-US" w:eastAsia="zh-CN"/>
            </w:rPr>
            <w:t>2</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_Toc24086 </w:instrText>
          </w:r>
          <w:r>
            <w:fldChar w:fldCharType="separate"/>
          </w:r>
          <w:r>
            <w:rPr>
              <w:rFonts w:hint="eastAsia"/>
            </w:rPr>
            <w:t>2.4教材建设质量</w:t>
          </w:r>
          <w:r>
            <w:tab/>
          </w:r>
          <w:r>
            <w:rPr>
              <w:rFonts w:hint="eastAsia"/>
              <w:lang w:val="en-US" w:eastAsia="zh-CN"/>
            </w:rPr>
            <w:t>2</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_Toc21801 </w:instrText>
          </w:r>
          <w:r>
            <w:fldChar w:fldCharType="separate"/>
          </w:r>
          <w:r>
            <w:rPr>
              <w:rFonts w:hint="eastAsia"/>
            </w:rPr>
            <w:t>2.5数字化教学资源建设</w:t>
          </w:r>
          <w:r>
            <w:tab/>
          </w:r>
          <w:r>
            <w:rPr>
              <w:rFonts w:hint="eastAsia"/>
              <w:lang w:val="en-US" w:eastAsia="zh-CN"/>
            </w:rPr>
            <w:t>2</w:t>
          </w:r>
          <w:r>
            <w:fldChar w:fldCharType="end"/>
          </w:r>
          <w:r>
            <w:rPr>
              <w:rFonts w:hint="eastAsia"/>
              <w:lang w:val="en-US" w:eastAsia="zh-CN"/>
            </w:rPr>
            <w:t>8</w:t>
          </w:r>
        </w:p>
        <w:p>
          <w:pPr>
            <w:pStyle w:val="34"/>
            <w:tabs>
              <w:tab w:val="right" w:leader="dot" w:pos="8844"/>
            </w:tabs>
            <w:rPr>
              <w:rFonts w:hint="eastAsia" w:eastAsia="宋体"/>
              <w:lang w:val="en-US" w:eastAsia="zh-CN"/>
            </w:rPr>
          </w:pPr>
          <w:r>
            <w:fldChar w:fldCharType="begin"/>
          </w:r>
          <w:r>
            <w:instrText xml:space="preserve"> HYPERLINK \l _Toc6920 </w:instrText>
          </w:r>
          <w:r>
            <w:fldChar w:fldCharType="separate"/>
          </w:r>
          <w:r>
            <w:rPr>
              <w:rFonts w:hint="eastAsia"/>
            </w:rPr>
            <w:t>2.6师资队伍建设</w:t>
          </w:r>
          <w:r>
            <w:tab/>
          </w:r>
          <w:r>
            <w:rPr>
              <w:rFonts w:hint="eastAsia"/>
              <w:lang w:val="en-US" w:eastAsia="zh-CN"/>
            </w:rPr>
            <w:t>2</w:t>
          </w:r>
          <w:r>
            <w:fldChar w:fldCharType="end"/>
          </w:r>
          <w:r>
            <w:rPr>
              <w:rFonts w:hint="eastAsia"/>
              <w:lang w:val="en-US" w:eastAsia="zh-CN"/>
            </w:rPr>
            <w:t>8</w:t>
          </w:r>
        </w:p>
        <w:p>
          <w:pPr>
            <w:pStyle w:val="34"/>
            <w:tabs>
              <w:tab w:val="right" w:leader="dot" w:pos="8844"/>
            </w:tabs>
            <w:rPr>
              <w:rFonts w:hint="eastAsia" w:eastAsia="宋体"/>
              <w:lang w:val="en-US" w:eastAsia="zh-CN"/>
            </w:rPr>
          </w:pPr>
          <w:r>
            <w:fldChar w:fldCharType="begin"/>
          </w:r>
          <w:r>
            <w:instrText xml:space="preserve"> HYPERLINK \l _Toc2903 </w:instrText>
          </w:r>
          <w:r>
            <w:fldChar w:fldCharType="separate"/>
          </w:r>
          <w:r>
            <w:rPr>
              <w:rFonts w:hint="eastAsia"/>
            </w:rPr>
            <w:t>2.7校企双元育人</w:t>
          </w:r>
          <w:r>
            <w:tab/>
          </w:r>
          <w:r>
            <w:rPr>
              <w:rFonts w:hint="eastAsia"/>
              <w:lang w:val="en-US" w:eastAsia="zh-CN"/>
            </w:rPr>
            <w:t>2</w:t>
          </w:r>
          <w:r>
            <w:fldChar w:fldCharType="end"/>
          </w:r>
          <w:r>
            <w:rPr>
              <w:rFonts w:hint="eastAsia"/>
              <w:lang w:val="en-US" w:eastAsia="zh-CN"/>
            </w:rPr>
            <w:t>9</w:t>
          </w:r>
        </w:p>
        <w:p>
          <w:pPr>
            <w:pStyle w:val="34"/>
            <w:tabs>
              <w:tab w:val="right" w:leader="dot" w:pos="8844"/>
            </w:tabs>
            <w:rPr>
              <w:rFonts w:hint="eastAsia" w:eastAsia="宋体"/>
              <w:lang w:val="en-US" w:eastAsia="zh-CN"/>
            </w:rPr>
          </w:pPr>
          <w:r>
            <w:fldChar w:fldCharType="begin"/>
          </w:r>
          <w:r>
            <w:instrText xml:space="preserve"> HYPERLINK \l _Toc27416 </w:instrText>
          </w:r>
          <w:r>
            <w:fldChar w:fldCharType="separate"/>
          </w:r>
          <w:r>
            <w:rPr>
              <w:rFonts w:hint="eastAsia"/>
            </w:rPr>
            <w:t>3 国际合作质量</w:t>
          </w:r>
          <w:r>
            <w:tab/>
          </w:r>
          <w:r>
            <w:rPr>
              <w:rFonts w:hint="eastAsia"/>
              <w:lang w:val="en-US" w:eastAsia="zh-CN"/>
            </w:rPr>
            <w:t>3</w:t>
          </w:r>
          <w:r>
            <w:fldChar w:fldCharType="end"/>
          </w:r>
          <w:r>
            <w:rPr>
              <w:rFonts w:hint="eastAsia"/>
              <w:lang w:val="en-US" w:eastAsia="zh-CN"/>
            </w:rPr>
            <w:t>0</w:t>
          </w:r>
        </w:p>
        <w:p>
          <w:pPr>
            <w:pStyle w:val="34"/>
            <w:tabs>
              <w:tab w:val="right" w:leader="dot" w:pos="8844"/>
            </w:tabs>
            <w:rPr>
              <w:rFonts w:hint="eastAsia" w:eastAsia="宋体"/>
              <w:lang w:val="en-US" w:eastAsia="zh-CN"/>
            </w:rPr>
          </w:pPr>
          <w:r>
            <w:fldChar w:fldCharType="begin"/>
          </w:r>
          <w:r>
            <w:instrText xml:space="preserve"> HYPERLINK \l _Toc5752 </w:instrText>
          </w:r>
          <w:r>
            <w:fldChar w:fldCharType="separate"/>
          </w:r>
          <w:r>
            <w:rPr>
              <w:rFonts w:hint="eastAsia"/>
            </w:rPr>
            <w:t>3.1留学生培养质量</w:t>
          </w:r>
          <w:r>
            <w:tab/>
          </w:r>
          <w:r>
            <w:rPr>
              <w:rFonts w:hint="eastAsia"/>
              <w:lang w:val="en-US" w:eastAsia="zh-CN"/>
            </w:rPr>
            <w:t>3</w:t>
          </w:r>
          <w:r>
            <w:fldChar w:fldCharType="end"/>
          </w:r>
          <w:r>
            <w:rPr>
              <w:rFonts w:hint="eastAsia"/>
              <w:lang w:val="en-US" w:eastAsia="zh-CN"/>
            </w:rPr>
            <w:t>0</w:t>
          </w:r>
        </w:p>
        <w:p>
          <w:pPr>
            <w:pStyle w:val="34"/>
            <w:tabs>
              <w:tab w:val="right" w:leader="dot" w:pos="8844"/>
            </w:tabs>
            <w:rPr>
              <w:rFonts w:hint="eastAsia" w:eastAsia="宋体"/>
              <w:lang w:val="en-US" w:eastAsia="zh-CN"/>
            </w:rPr>
          </w:pPr>
          <w:r>
            <w:fldChar w:fldCharType="begin"/>
          </w:r>
          <w:r>
            <w:instrText xml:space="preserve"> HYPERLINK \l _Toc24161 </w:instrText>
          </w:r>
          <w:r>
            <w:fldChar w:fldCharType="separate"/>
          </w:r>
          <w:r>
            <w:rPr>
              <w:rFonts w:hint="eastAsia"/>
            </w:rPr>
            <w:t>3.2合作办学质量</w:t>
          </w:r>
          <w:r>
            <w:tab/>
          </w:r>
          <w:r>
            <w:rPr>
              <w:rFonts w:hint="eastAsia"/>
              <w:lang w:val="en-US" w:eastAsia="zh-CN"/>
            </w:rPr>
            <w:t>3</w:t>
          </w:r>
          <w:r>
            <w:fldChar w:fldCharType="end"/>
          </w:r>
          <w:r>
            <w:rPr>
              <w:rFonts w:hint="eastAsia"/>
              <w:lang w:val="en-US" w:eastAsia="zh-CN"/>
            </w:rPr>
            <w:t>0</w:t>
          </w:r>
        </w:p>
        <w:p>
          <w:pPr>
            <w:pStyle w:val="34"/>
            <w:tabs>
              <w:tab w:val="right" w:leader="dot" w:pos="8844"/>
            </w:tabs>
            <w:rPr>
              <w:rFonts w:hint="eastAsia" w:eastAsia="宋体"/>
              <w:lang w:val="en-US" w:eastAsia="zh-CN"/>
            </w:rPr>
          </w:pPr>
          <w:r>
            <w:fldChar w:fldCharType="begin"/>
          </w:r>
          <w:r>
            <w:instrText xml:space="preserve"> HYPERLINK \l _Toc27317 </w:instrText>
          </w:r>
          <w:r>
            <w:fldChar w:fldCharType="separate"/>
          </w:r>
          <w:r>
            <w:rPr>
              <w:rFonts w:hint="eastAsia"/>
            </w:rPr>
            <w:t>3.3开发标准质量</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_Toc4858 </w:instrText>
          </w:r>
          <w:r>
            <w:fldChar w:fldCharType="separate"/>
          </w:r>
          <w:r>
            <w:rPr>
              <w:rFonts w:hint="eastAsia"/>
            </w:rPr>
            <w:t>3.4国（境）外独立办学质量</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_Toc1561 </w:instrText>
          </w:r>
          <w:r>
            <w:fldChar w:fldCharType="separate"/>
          </w:r>
          <w:r>
            <w:rPr>
              <w:rFonts w:hint="eastAsia"/>
            </w:rPr>
            <w:t>3.5助力“一带一路”建设质量</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_Toc11752 </w:instrText>
          </w:r>
          <w:r>
            <w:fldChar w:fldCharType="separate"/>
          </w:r>
          <w:r>
            <w:rPr>
              <w:rFonts w:hint="eastAsia"/>
            </w:rPr>
            <w:t>3.6提升学生国际化素养质量</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_Toc9258 </w:instrText>
          </w:r>
          <w:r>
            <w:fldChar w:fldCharType="separate"/>
          </w:r>
          <w:r>
            <w:rPr>
              <w:rFonts w:hint="eastAsia"/>
            </w:rPr>
            <w:t>4 服务贡献质量</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_Toc25796 </w:instrText>
          </w:r>
          <w:r>
            <w:fldChar w:fldCharType="separate"/>
          </w:r>
          <w:r>
            <w:rPr>
              <w:rFonts w:hint="eastAsia"/>
            </w:rPr>
            <w:t>4.1服务行业企业</w:t>
          </w:r>
          <w:r>
            <w:tab/>
          </w:r>
          <w:r>
            <w:rPr>
              <w:rFonts w:hint="eastAsia"/>
              <w:lang w:val="en-US" w:eastAsia="zh-CN"/>
            </w:rPr>
            <w:t>3</w:t>
          </w:r>
          <w:r>
            <w:fldChar w:fldCharType="end"/>
          </w:r>
          <w:r>
            <w:rPr>
              <w:rFonts w:hint="eastAsia"/>
              <w:lang w:val="en-US" w:eastAsia="zh-CN"/>
            </w:rPr>
            <w:t>3</w:t>
          </w:r>
        </w:p>
        <w:p>
          <w:pPr>
            <w:pStyle w:val="34"/>
            <w:tabs>
              <w:tab w:val="right" w:leader="dot" w:pos="8844"/>
            </w:tabs>
            <w:rPr>
              <w:rFonts w:hint="eastAsia" w:eastAsia="宋体"/>
              <w:lang w:val="en-US" w:eastAsia="zh-CN"/>
            </w:rPr>
          </w:pPr>
          <w:r>
            <w:fldChar w:fldCharType="begin"/>
          </w:r>
          <w:r>
            <w:instrText xml:space="preserve"> HYPERLINK \l _Toc13193 </w:instrText>
          </w:r>
          <w:r>
            <w:fldChar w:fldCharType="separate"/>
          </w:r>
          <w:r>
            <w:rPr>
              <w:rFonts w:hint="eastAsia"/>
            </w:rPr>
            <w:t>4.2服务地方发展</w:t>
          </w:r>
          <w:r>
            <w:tab/>
          </w:r>
          <w:r>
            <w:rPr>
              <w:rFonts w:hint="eastAsia"/>
              <w:lang w:val="en-US" w:eastAsia="zh-CN"/>
            </w:rPr>
            <w:t>3</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_Toc25969 </w:instrText>
          </w:r>
          <w:r>
            <w:fldChar w:fldCharType="separate"/>
          </w:r>
          <w:r>
            <w:rPr>
              <w:rFonts w:hint="eastAsia"/>
            </w:rPr>
            <w:t>4.3服务乡村振兴</w:t>
          </w:r>
          <w:r>
            <w:tab/>
          </w:r>
          <w:r>
            <w:rPr>
              <w:rFonts w:hint="eastAsia"/>
              <w:lang w:val="en-US" w:eastAsia="zh-CN"/>
            </w:rPr>
            <w:t>3</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_Toc17733 </w:instrText>
          </w:r>
          <w:r>
            <w:fldChar w:fldCharType="separate"/>
          </w:r>
          <w:r>
            <w:rPr>
              <w:rFonts w:hint="eastAsia"/>
            </w:rPr>
            <w:t>4.4服务地方社区</w:t>
          </w:r>
          <w:r>
            <w:tab/>
          </w:r>
          <w:r>
            <w:rPr>
              <w:rFonts w:hint="eastAsia"/>
              <w:lang w:val="en-US" w:eastAsia="zh-CN"/>
            </w:rPr>
            <w:t>3</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_Toc5266 </w:instrText>
          </w:r>
          <w:r>
            <w:fldChar w:fldCharType="separate"/>
          </w:r>
          <w:r>
            <w:rPr>
              <w:rFonts w:hint="eastAsia"/>
            </w:rPr>
            <w:t>4.5具有地域特色的服务</w:t>
          </w:r>
          <w:r>
            <w:tab/>
          </w:r>
          <w:r>
            <w:rPr>
              <w:rFonts w:hint="eastAsia"/>
              <w:lang w:val="en-US" w:eastAsia="zh-CN"/>
            </w:rPr>
            <w:t>3</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_Toc11265 </w:instrText>
          </w:r>
          <w:r>
            <w:fldChar w:fldCharType="separate"/>
          </w:r>
          <w:r>
            <w:rPr>
              <w:rFonts w:hint="eastAsia"/>
            </w:rPr>
            <w:t>4.6具有本校特色的服务</w:t>
          </w:r>
          <w:r>
            <w:tab/>
          </w:r>
          <w:r>
            <w:rPr>
              <w:rFonts w:hint="eastAsia"/>
              <w:lang w:val="en-US" w:eastAsia="zh-CN"/>
            </w:rPr>
            <w:t>3</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_Toc8354 </w:instrText>
          </w:r>
          <w:r>
            <w:fldChar w:fldCharType="separate"/>
          </w:r>
          <w:r>
            <w:rPr>
              <w:rFonts w:hint="eastAsia"/>
            </w:rPr>
            <w:t>5</w:t>
          </w:r>
          <w:r>
            <w:rPr>
              <w:rFonts w:hint="eastAsia"/>
              <w:lang w:val="en-US" w:eastAsia="zh-CN"/>
            </w:rPr>
            <w:t xml:space="preserve"> </w:t>
          </w:r>
          <w:r>
            <w:rPr>
              <w:rFonts w:hint="eastAsia"/>
            </w:rPr>
            <w:t>政策落实质量</w:t>
          </w:r>
          <w:r>
            <w:tab/>
          </w:r>
          <w:r>
            <w:rPr>
              <w:rFonts w:hint="eastAsia"/>
              <w:lang w:val="en-US" w:eastAsia="zh-CN"/>
            </w:rPr>
            <w:t>4</w:t>
          </w:r>
          <w:r>
            <w:fldChar w:fldCharType="end"/>
          </w:r>
          <w:r>
            <w:rPr>
              <w:rFonts w:hint="eastAsia"/>
              <w:lang w:val="en-US" w:eastAsia="zh-CN"/>
            </w:rPr>
            <w:t>1</w:t>
          </w:r>
        </w:p>
        <w:p>
          <w:pPr>
            <w:pStyle w:val="34"/>
            <w:tabs>
              <w:tab w:val="right" w:leader="dot" w:pos="8844"/>
            </w:tabs>
            <w:rPr>
              <w:rFonts w:hint="eastAsia" w:eastAsia="宋体"/>
              <w:lang w:val="en-US" w:eastAsia="zh-CN"/>
            </w:rPr>
          </w:pPr>
          <w:r>
            <w:fldChar w:fldCharType="begin"/>
          </w:r>
          <w:r>
            <w:instrText xml:space="preserve"> HYPERLINK \l _Toc28964 </w:instrText>
          </w:r>
          <w:r>
            <w:fldChar w:fldCharType="separate"/>
          </w:r>
          <w:r>
            <w:rPr>
              <w:rFonts w:hint="eastAsia"/>
            </w:rPr>
            <w:t>5.</w:t>
          </w:r>
          <w:r>
            <w:t>1</w:t>
          </w:r>
          <w:r>
            <w:rPr>
              <w:rFonts w:hint="eastAsia"/>
            </w:rPr>
            <w:t>国家政策落实</w:t>
          </w:r>
          <w:r>
            <w:tab/>
          </w:r>
          <w:r>
            <w:rPr>
              <w:rFonts w:hint="eastAsia"/>
              <w:lang w:val="en-US" w:eastAsia="zh-CN"/>
            </w:rPr>
            <w:t>4</w:t>
          </w:r>
          <w:r>
            <w:fldChar w:fldCharType="end"/>
          </w:r>
          <w:r>
            <w:rPr>
              <w:rFonts w:hint="eastAsia"/>
              <w:lang w:val="en-US" w:eastAsia="zh-CN"/>
            </w:rPr>
            <w:t>1</w:t>
          </w:r>
        </w:p>
        <w:p>
          <w:pPr>
            <w:pStyle w:val="34"/>
            <w:tabs>
              <w:tab w:val="right" w:leader="dot" w:pos="8844"/>
            </w:tabs>
            <w:rPr>
              <w:rFonts w:hint="eastAsia" w:eastAsia="宋体"/>
              <w:lang w:val="en-US" w:eastAsia="zh-CN"/>
            </w:rPr>
          </w:pPr>
          <w:r>
            <w:fldChar w:fldCharType="begin"/>
          </w:r>
          <w:r>
            <w:instrText xml:space="preserve"> HYPERLINK \l _Toc5852 </w:instrText>
          </w:r>
          <w:r>
            <w:fldChar w:fldCharType="separate"/>
          </w:r>
          <w:r>
            <w:rPr>
              <w:rFonts w:hint="eastAsia"/>
            </w:rPr>
            <w:t>5.</w:t>
          </w:r>
          <w:r>
            <w:t>2</w:t>
          </w:r>
          <w:r>
            <w:rPr>
              <w:rFonts w:hint="eastAsia"/>
            </w:rPr>
            <w:t>地方政策落实</w:t>
          </w:r>
          <w:r>
            <w:tab/>
          </w:r>
          <w:r>
            <w:rPr>
              <w:rFonts w:hint="eastAsia"/>
              <w:lang w:val="en-US" w:eastAsia="zh-CN"/>
            </w:rPr>
            <w:t>4</w:t>
          </w:r>
          <w:r>
            <w:fldChar w:fldCharType="end"/>
          </w:r>
          <w:r>
            <w:rPr>
              <w:rFonts w:hint="eastAsia"/>
              <w:lang w:val="en-US" w:eastAsia="zh-CN"/>
            </w:rPr>
            <w:t>1</w:t>
          </w:r>
        </w:p>
        <w:p>
          <w:pPr>
            <w:pStyle w:val="34"/>
            <w:tabs>
              <w:tab w:val="right" w:leader="dot" w:pos="8844"/>
            </w:tabs>
            <w:rPr>
              <w:rFonts w:hint="eastAsia" w:eastAsia="宋体"/>
              <w:lang w:val="en-US" w:eastAsia="zh-CN"/>
            </w:rPr>
          </w:pPr>
          <w:r>
            <w:fldChar w:fldCharType="begin"/>
          </w:r>
          <w:r>
            <w:instrText xml:space="preserve"> HYPERLINK \l _Toc14504 </w:instrText>
          </w:r>
          <w:r>
            <w:fldChar w:fldCharType="separate"/>
          </w:r>
          <w:r>
            <w:rPr>
              <w:rFonts w:hint="eastAsia"/>
            </w:rPr>
            <w:t>5.</w:t>
          </w:r>
          <w:r>
            <w:t>3</w:t>
          </w:r>
          <w:r>
            <w:rPr>
              <w:rFonts w:hint="eastAsia"/>
            </w:rPr>
            <w:t>学校治理</w:t>
          </w:r>
          <w:r>
            <w:tab/>
          </w:r>
          <w:r>
            <w:rPr>
              <w:rFonts w:hint="eastAsia"/>
              <w:lang w:val="en-US" w:eastAsia="zh-CN"/>
            </w:rPr>
            <w:t>4</w:t>
          </w:r>
          <w:r>
            <w:fldChar w:fldCharType="end"/>
          </w:r>
          <w:r>
            <w:rPr>
              <w:rFonts w:hint="eastAsia"/>
              <w:lang w:val="en-US" w:eastAsia="zh-CN"/>
            </w:rPr>
            <w:t>1</w:t>
          </w:r>
        </w:p>
        <w:p>
          <w:pPr>
            <w:pStyle w:val="34"/>
            <w:tabs>
              <w:tab w:val="right" w:leader="dot" w:pos="8844"/>
            </w:tabs>
            <w:rPr>
              <w:rFonts w:hint="eastAsia" w:eastAsia="宋体"/>
              <w:lang w:val="en-US" w:eastAsia="zh-CN"/>
            </w:rPr>
          </w:pPr>
          <w:r>
            <w:fldChar w:fldCharType="begin"/>
          </w:r>
          <w:r>
            <w:instrText xml:space="preserve"> HYPERLINK \l _Toc20567 </w:instrText>
          </w:r>
          <w:r>
            <w:fldChar w:fldCharType="separate"/>
          </w:r>
          <w:r>
            <w:rPr>
              <w:rFonts w:hint="eastAsia"/>
            </w:rPr>
            <w:t>5.4质量保证体系建设</w:t>
          </w:r>
          <w:r>
            <w:tab/>
          </w:r>
          <w:r>
            <w:rPr>
              <w:rFonts w:hint="eastAsia"/>
              <w:lang w:val="en-US" w:eastAsia="zh-CN"/>
            </w:rPr>
            <w:t>4</w:t>
          </w:r>
          <w:r>
            <w:fldChar w:fldCharType="end"/>
          </w:r>
          <w:r>
            <w:rPr>
              <w:rFonts w:hint="eastAsia"/>
              <w:lang w:val="en-US" w:eastAsia="zh-CN"/>
            </w:rPr>
            <w:t>5</w:t>
          </w:r>
        </w:p>
        <w:p>
          <w:pPr>
            <w:pStyle w:val="34"/>
            <w:tabs>
              <w:tab w:val="right" w:leader="dot" w:pos="8844"/>
            </w:tabs>
            <w:rPr>
              <w:rFonts w:hint="eastAsia" w:eastAsia="宋体"/>
              <w:lang w:val="en-US" w:eastAsia="zh-CN"/>
            </w:rPr>
          </w:pPr>
          <w:r>
            <w:fldChar w:fldCharType="begin"/>
          </w:r>
          <w:r>
            <w:instrText xml:space="preserve"> HYPERLINK \l _Toc12357 </w:instrText>
          </w:r>
          <w:r>
            <w:fldChar w:fldCharType="separate"/>
          </w:r>
          <w:r>
            <w:rPr>
              <w:rFonts w:hint="eastAsia"/>
            </w:rPr>
            <w:t>5.5经费投入</w:t>
          </w:r>
          <w:r>
            <w:tab/>
          </w:r>
          <w:r>
            <w:rPr>
              <w:rFonts w:hint="eastAsia"/>
              <w:lang w:val="en-US" w:eastAsia="zh-CN"/>
            </w:rPr>
            <w:t>4</w:t>
          </w:r>
          <w:r>
            <w:fldChar w:fldCharType="end"/>
          </w:r>
          <w:r>
            <w:rPr>
              <w:rFonts w:hint="eastAsia"/>
              <w:lang w:val="en-US" w:eastAsia="zh-CN"/>
            </w:rPr>
            <w:t>6</w:t>
          </w:r>
        </w:p>
        <w:p>
          <w:pPr>
            <w:pStyle w:val="34"/>
            <w:tabs>
              <w:tab w:val="right" w:leader="dot" w:pos="8844"/>
            </w:tabs>
            <w:rPr>
              <w:rFonts w:hint="eastAsia" w:eastAsia="宋体"/>
              <w:lang w:val="en-US" w:eastAsia="zh-CN"/>
            </w:rPr>
          </w:pPr>
          <w:r>
            <w:fldChar w:fldCharType="begin"/>
          </w:r>
          <w:r>
            <w:instrText xml:space="preserve"> HYPERLINK \l _Toc251 </w:instrText>
          </w:r>
          <w:r>
            <w:fldChar w:fldCharType="separate"/>
          </w:r>
          <w:r>
            <w:rPr>
              <w:rFonts w:hint="eastAsia"/>
            </w:rPr>
            <w:t>6 面临挑战</w:t>
          </w:r>
          <w:r>
            <w:tab/>
          </w:r>
          <w:r>
            <w:rPr>
              <w:rFonts w:hint="eastAsia"/>
              <w:lang w:val="en-US" w:eastAsia="zh-CN"/>
            </w:rPr>
            <w:t>4</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_Toc19720 </w:instrText>
          </w:r>
          <w:r>
            <w:fldChar w:fldCharType="separate"/>
          </w:r>
          <w:r>
            <w:rPr>
              <w:rFonts w:hint="eastAsia"/>
            </w:rPr>
            <w:t>挑战1：</w:t>
          </w:r>
          <w:r>
            <w:tab/>
          </w:r>
          <w:r>
            <w:rPr>
              <w:rFonts w:hint="eastAsia"/>
              <w:lang w:val="en-US" w:eastAsia="zh-CN"/>
            </w:rPr>
            <w:t>4</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_Toc16196 </w:instrText>
          </w:r>
          <w:r>
            <w:fldChar w:fldCharType="separate"/>
          </w:r>
          <w:r>
            <w:rPr>
              <w:rFonts w:hint="eastAsia"/>
            </w:rPr>
            <w:t>挑战2：</w:t>
          </w:r>
          <w:r>
            <w:tab/>
          </w:r>
          <w:r>
            <w:rPr>
              <w:rFonts w:hint="eastAsia"/>
              <w:lang w:val="en-US" w:eastAsia="zh-CN"/>
            </w:rPr>
            <w:t>4</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_Toc29337 </w:instrText>
          </w:r>
          <w:r>
            <w:fldChar w:fldCharType="separate"/>
          </w:r>
          <w:r>
            <w:rPr>
              <w:rFonts w:hint="eastAsia"/>
            </w:rPr>
            <w:t>挑战3：</w:t>
          </w:r>
          <w:r>
            <w:tab/>
          </w:r>
          <w:r>
            <w:rPr>
              <w:rFonts w:hint="eastAsia"/>
              <w:lang w:val="en-US" w:eastAsia="zh-CN"/>
            </w:rPr>
            <w:t>4</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_Toc29337 </w:instrText>
          </w:r>
          <w:r>
            <w:fldChar w:fldCharType="separate"/>
          </w:r>
          <w:r>
            <w:rPr>
              <w:rFonts w:hint="eastAsia"/>
            </w:rPr>
            <w:t>挑战</w:t>
          </w:r>
          <w:r>
            <w:rPr>
              <w:rFonts w:hint="eastAsia"/>
              <w:lang w:val="en-US" w:eastAsia="zh-CN"/>
            </w:rPr>
            <w:t>4</w:t>
          </w:r>
          <w:r>
            <w:rPr>
              <w:rFonts w:hint="eastAsia"/>
            </w:rPr>
            <w:t>：</w:t>
          </w:r>
          <w:r>
            <w:tab/>
          </w:r>
          <w:r>
            <w:rPr>
              <w:rFonts w:hint="eastAsia"/>
              <w:lang w:val="en-US" w:eastAsia="zh-CN"/>
            </w:rPr>
            <w:t>4</w:t>
          </w:r>
          <w:r>
            <w:fldChar w:fldCharType="end"/>
          </w:r>
          <w:r>
            <w:rPr>
              <w:rFonts w:hint="eastAsia"/>
              <w:lang w:val="en-US" w:eastAsia="zh-CN"/>
            </w:rPr>
            <w:t>7</w:t>
          </w:r>
        </w:p>
        <w:p>
          <w:pPr>
            <w:pStyle w:val="34"/>
            <w:tabs>
              <w:tab w:val="right" w:leader="dot" w:pos="8844"/>
            </w:tabs>
            <w:rPr>
              <w:rFonts w:hint="eastAsia" w:eastAsia="宋体"/>
              <w:lang w:val="en-US" w:eastAsia="zh-CN"/>
            </w:rPr>
          </w:pPr>
          <w:r>
            <w:fldChar w:fldCharType="begin"/>
          </w:r>
          <w:r>
            <w:instrText xml:space="preserve"> HYPERLINK \l _Toc21225 </w:instrText>
          </w:r>
          <w:r>
            <w:fldChar w:fldCharType="separate"/>
          </w:r>
          <w:r>
            <w:rPr>
              <w:rFonts w:hint="eastAsia"/>
            </w:rPr>
            <w:t>附表</w:t>
          </w:r>
          <w:r>
            <w:rPr>
              <w:rFonts w:hint="eastAsia"/>
              <w:lang w:eastAsia="zh-CN"/>
            </w:rPr>
            <w:t>（</w:t>
          </w:r>
          <w:r>
            <w:rPr>
              <w:rFonts w:hint="eastAsia"/>
              <w:lang w:val="en-US" w:eastAsia="zh-CN"/>
            </w:rPr>
            <w:t>中职</w:t>
          </w:r>
          <w:r>
            <w:rPr>
              <w:rFonts w:hint="eastAsia"/>
              <w:lang w:eastAsia="zh-CN"/>
            </w:rPr>
            <w:t>）</w:t>
          </w:r>
          <w:r>
            <w:tab/>
          </w:r>
          <w:r>
            <w:rPr>
              <w:rFonts w:hint="eastAsia"/>
              <w:lang w:val="en-US" w:eastAsia="zh-CN"/>
            </w:rPr>
            <w:t>4</w:t>
          </w:r>
          <w:r>
            <w:fldChar w:fldCharType="end"/>
          </w:r>
          <w:r>
            <w:rPr>
              <w:rFonts w:hint="eastAsia"/>
              <w:lang w:val="en-US" w:eastAsia="zh-CN"/>
            </w:rPr>
            <w:t>9</w:t>
          </w:r>
        </w:p>
        <w:p>
          <w:pPr>
            <w:pStyle w:val="34"/>
            <w:tabs>
              <w:tab w:val="right" w:leader="dot" w:pos="8844"/>
            </w:tabs>
            <w:rPr>
              <w:rFonts w:hint="eastAsia" w:eastAsia="宋体"/>
              <w:lang w:val="en-US" w:eastAsia="zh-CN"/>
            </w:rPr>
          </w:pPr>
          <w:r>
            <w:fldChar w:fldCharType="begin"/>
          </w:r>
          <w:r>
            <w:instrText xml:space="preserve"> HYPERLINK \l _Toc14782 </w:instrText>
          </w:r>
          <w:r>
            <w:fldChar w:fldCharType="separate"/>
          </w:r>
          <w:r>
            <w:rPr>
              <w:rFonts w:hint="eastAsia"/>
            </w:rPr>
            <w:t>表1 中等职业教育质量数据表</w:t>
          </w:r>
          <w:r>
            <w:tab/>
          </w:r>
          <w:r>
            <w:rPr>
              <w:rFonts w:hint="eastAsia"/>
              <w:lang w:val="en-US" w:eastAsia="zh-CN"/>
            </w:rPr>
            <w:t>4</w:t>
          </w:r>
          <w:r>
            <w:fldChar w:fldCharType="end"/>
          </w:r>
          <w:r>
            <w:rPr>
              <w:rFonts w:hint="eastAsia"/>
              <w:lang w:val="en-US" w:eastAsia="zh-CN"/>
            </w:rPr>
            <w:t>9</w:t>
          </w:r>
        </w:p>
        <w:p>
          <w:pPr>
            <w:pStyle w:val="34"/>
            <w:tabs>
              <w:tab w:val="right" w:leader="dot" w:pos="8844"/>
            </w:tabs>
          </w:pPr>
          <w:r>
            <w:fldChar w:fldCharType="begin"/>
          </w:r>
          <w:r>
            <w:instrText xml:space="preserve"> HYPERLINK \l _Toc18909 </w:instrText>
          </w:r>
          <w:r>
            <w:fldChar w:fldCharType="separate"/>
          </w:r>
          <w:r>
            <w:rPr>
              <w:rFonts w:hint="eastAsia"/>
            </w:rPr>
            <w:t>表2 满意度调查表</w:t>
          </w:r>
          <w:r>
            <w:tab/>
          </w:r>
          <w:r>
            <w:rPr>
              <w:rFonts w:hint="eastAsia"/>
              <w:lang w:val="en-US" w:eastAsia="zh-CN"/>
            </w:rPr>
            <w:t>5</w:t>
          </w:r>
          <w:r>
            <w:fldChar w:fldCharType="end"/>
          </w:r>
          <w:r>
            <w:fldChar w:fldCharType="end"/>
          </w:r>
          <w:r>
            <w:rPr>
              <w:rFonts w:hint="eastAsia"/>
              <w:lang w:val="en-US" w:eastAsia="zh-CN"/>
            </w:rPr>
            <w:t>0</w:t>
          </w:r>
        </w:p>
      </w:sdtContent>
    </w:sdt>
    <w:p>
      <w:pPr>
        <w:pStyle w:val="2"/>
        <w:rPr>
          <w:rFonts w:hint="eastAsia" w:ascii="方正小标宋简体" w:hAnsi="方正小标宋简体" w:eastAsia="方正小标宋简体" w:cs="方正小标宋简体"/>
          <w:bCs/>
          <w:color w:val="auto"/>
          <w:sz w:val="44"/>
          <w:szCs w:val="44"/>
        </w:rPr>
      </w:pPr>
    </w:p>
    <w:p>
      <w:pPr>
        <w:pStyle w:val="3"/>
        <w:rPr>
          <w:rFonts w:hint="eastAsia" w:ascii="方正小标宋简体" w:hAnsi="方正小标宋简体" w:eastAsia="方正小标宋简体" w:cs="方正小标宋简体"/>
          <w:bCs/>
          <w:color w:val="auto"/>
          <w:sz w:val="44"/>
          <w:szCs w:val="44"/>
        </w:rPr>
      </w:pPr>
    </w:p>
    <w:p>
      <w:pPr>
        <w:rPr>
          <w:rFonts w:hint="eastAsia" w:ascii="方正小标宋简体" w:hAnsi="方正小标宋简体" w:eastAsia="方正小标宋简体" w:cs="方正小标宋简体"/>
          <w:bCs/>
          <w:color w:val="auto"/>
          <w:sz w:val="44"/>
          <w:szCs w:val="44"/>
        </w:rPr>
      </w:pPr>
    </w:p>
    <w:p>
      <w:pPr>
        <w:pStyle w:val="2"/>
        <w:rPr>
          <w:rFonts w:hint="eastAsia" w:ascii="方正小标宋简体" w:hAnsi="方正小标宋简体" w:eastAsia="方正小标宋简体" w:cs="方正小标宋简体"/>
          <w:bCs/>
          <w:color w:val="auto"/>
          <w:sz w:val="44"/>
          <w:szCs w:val="44"/>
        </w:rPr>
      </w:pPr>
    </w:p>
    <w:p>
      <w:pPr>
        <w:pStyle w:val="3"/>
        <w:rPr>
          <w:rFonts w:hint="eastAsia"/>
        </w:rPr>
      </w:pPr>
    </w:p>
    <w:p>
      <w:pPr>
        <w:pStyle w:val="3"/>
        <w:rPr>
          <w:rFonts w:hint="eastAsia" w:ascii="方正小标宋简体" w:hAnsi="方正小标宋简体" w:eastAsia="方正小标宋简体" w:cs="方正小标宋简体"/>
          <w:bCs/>
          <w:color w:val="auto"/>
          <w:sz w:val="44"/>
          <w:szCs w:val="44"/>
        </w:rPr>
      </w:pPr>
    </w:p>
    <w:p>
      <w:pPr>
        <w:rPr>
          <w:rFonts w:hint="eastAsia" w:ascii="方正小标宋简体" w:hAnsi="方正小标宋简体" w:eastAsia="方正小标宋简体" w:cs="方正小标宋简体"/>
          <w:bCs/>
          <w:color w:val="auto"/>
          <w:sz w:val="44"/>
          <w:szCs w:val="44"/>
        </w:rPr>
      </w:pPr>
    </w:p>
    <w:p>
      <w:pPr>
        <w:pStyle w:val="2"/>
        <w:rPr>
          <w:rFonts w:hint="eastAsia" w:ascii="方正小标宋简体" w:hAnsi="方正小标宋简体" w:eastAsia="方正小标宋简体" w:cs="方正小标宋简体"/>
          <w:bCs/>
          <w:color w:val="auto"/>
          <w:sz w:val="44"/>
          <w:szCs w:val="44"/>
        </w:rPr>
      </w:pPr>
    </w:p>
    <w:p>
      <w:pPr>
        <w:pStyle w:val="3"/>
        <w:rPr>
          <w:rFonts w:hint="eastAsia"/>
        </w:rPr>
      </w:pPr>
    </w:p>
    <w:p>
      <w:pPr>
        <w:pStyle w:val="2"/>
        <w:rPr>
          <w:rFonts w:hint="eastAsia" w:ascii="方正小标宋简体" w:hAnsi="方正小标宋简体" w:eastAsia="方正小标宋简体" w:cs="方正小标宋简体"/>
          <w:bCs/>
          <w:color w:val="auto"/>
          <w:sz w:val="44"/>
          <w:szCs w:val="44"/>
        </w:rPr>
        <w:sectPr>
          <w:headerReference r:id="rId3" w:type="default"/>
          <w:footerReference r:id="rId4" w:type="default"/>
          <w:pgSz w:w="11906" w:h="16838"/>
          <w:pgMar w:top="1814" w:right="1531" w:bottom="1701"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600" w:lineRule="exact"/>
        <w:ind w:left="0"/>
        <w:jc w:val="center"/>
        <w:textAlignment w:val="auto"/>
        <w:rPr>
          <w:rFonts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rPr>
        <w:t>韩城市职业中等专业学校</w:t>
      </w:r>
    </w:p>
    <w:p>
      <w:pPr>
        <w:keepNext w:val="0"/>
        <w:keepLines w:val="0"/>
        <w:pageBreakBefore w:val="0"/>
        <w:widowControl w:val="0"/>
        <w:kinsoku/>
        <w:wordWrap/>
        <w:overflowPunct/>
        <w:topLinePunct w:val="0"/>
        <w:autoSpaceDE/>
        <w:autoSpaceDN/>
        <w:bidi w:val="0"/>
        <w:adjustRightInd/>
        <w:snapToGrid/>
        <w:spacing w:line="600" w:lineRule="exact"/>
        <w:ind w:left="0"/>
        <w:jc w:val="center"/>
        <w:textAlignment w:val="auto"/>
        <w:rPr>
          <w:rFonts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rPr>
        <w:t>202</w:t>
      </w:r>
      <w:r>
        <w:rPr>
          <w:rFonts w:hint="eastAsia" w:ascii="方正小标宋简体" w:hAnsi="方正小标宋简体" w:eastAsia="方正小标宋简体" w:cs="方正小标宋简体"/>
          <w:bCs/>
          <w:color w:val="auto"/>
          <w:sz w:val="44"/>
          <w:szCs w:val="44"/>
          <w:lang w:val="en-US" w:eastAsia="zh-CN"/>
        </w:rPr>
        <w:t>3</w:t>
      </w:r>
      <w:r>
        <w:rPr>
          <w:rFonts w:hint="eastAsia" w:ascii="方正小标宋简体" w:hAnsi="方正小标宋简体" w:eastAsia="方正小标宋简体" w:cs="方正小标宋简体"/>
          <w:bCs/>
          <w:color w:val="auto"/>
          <w:sz w:val="44"/>
          <w:szCs w:val="44"/>
        </w:rPr>
        <w:t>年度质量报告</w:t>
      </w:r>
    </w:p>
    <w:p>
      <w:pPr>
        <w:keepNext w:val="0"/>
        <w:keepLines w:val="0"/>
        <w:pageBreakBefore w:val="0"/>
        <w:widowControl w:val="0"/>
        <w:kinsoku/>
        <w:wordWrap/>
        <w:overflowPunct/>
        <w:topLinePunct w:val="0"/>
        <w:autoSpaceDE/>
        <w:autoSpaceDN/>
        <w:bidi w:val="0"/>
        <w:adjustRightInd/>
        <w:snapToGrid/>
        <w:spacing w:line="600" w:lineRule="exact"/>
        <w:ind w:left="0"/>
        <w:jc w:val="center"/>
        <w:textAlignment w:val="auto"/>
        <w:rPr>
          <w:rFonts w:hint="eastAsia" w:eastAsia="楷体_GB2312"/>
          <w:lang w:eastAsia="zh-CN"/>
        </w:rPr>
      </w:pPr>
      <w:r>
        <w:rPr>
          <w:rFonts w:hint="eastAsia" w:ascii="楷体_GB2312" w:hAnsi="楷体_GB2312" w:eastAsia="楷体_GB2312" w:cs="楷体_GB2312"/>
          <w:color w:val="auto"/>
          <w:sz w:val="32"/>
          <w:szCs w:val="32"/>
        </w:rPr>
        <w:t>（20</w:t>
      </w:r>
      <w:r>
        <w:rPr>
          <w:rFonts w:hint="eastAsia" w:ascii="楷体_GB2312" w:hAnsi="楷体_GB2312" w:eastAsia="楷体_GB2312" w:cs="楷体_GB2312"/>
          <w:color w:val="auto"/>
          <w:sz w:val="32"/>
          <w:szCs w:val="32"/>
          <w:lang w:val="en-US" w:eastAsia="zh-CN"/>
        </w:rPr>
        <w:t>21</w:t>
      </w:r>
      <w:r>
        <w:rPr>
          <w:rFonts w:hint="eastAsia" w:ascii="楷体_GB2312" w:hAnsi="楷体_GB2312" w:eastAsia="楷体_GB2312" w:cs="楷体_GB2312"/>
          <w:color w:val="auto"/>
          <w:sz w:val="32"/>
          <w:szCs w:val="32"/>
        </w:rPr>
        <w:t>年</w:t>
      </w:r>
      <w:r>
        <w:rPr>
          <w:rFonts w:hint="eastAsia" w:ascii="楷体_GB2312" w:hAnsi="楷体_GB2312" w:eastAsia="楷体_GB2312" w:cs="楷体_GB2312"/>
          <w:color w:val="auto"/>
          <w:sz w:val="32"/>
          <w:szCs w:val="32"/>
          <w:lang w:val="en-US" w:eastAsia="zh-CN"/>
        </w:rPr>
        <w:t>9</w:t>
      </w:r>
      <w:r>
        <w:rPr>
          <w:rFonts w:hint="eastAsia" w:ascii="楷体_GB2312" w:hAnsi="楷体_GB2312" w:eastAsia="楷体_GB2312" w:cs="楷体_GB2312"/>
          <w:color w:val="auto"/>
          <w:sz w:val="32"/>
          <w:szCs w:val="32"/>
        </w:rPr>
        <w:t>月—202</w:t>
      </w:r>
      <w:r>
        <w:rPr>
          <w:rFonts w:hint="eastAsia" w:ascii="楷体_GB2312" w:hAnsi="楷体_GB2312" w:eastAsia="楷体_GB2312" w:cs="楷体_GB2312"/>
          <w:color w:val="auto"/>
          <w:sz w:val="32"/>
          <w:szCs w:val="32"/>
          <w:lang w:val="en-US" w:eastAsia="zh-CN"/>
        </w:rPr>
        <w:t>2</w:t>
      </w:r>
      <w:r>
        <w:rPr>
          <w:rFonts w:hint="eastAsia" w:ascii="楷体_GB2312" w:hAnsi="楷体_GB2312" w:eastAsia="楷体_GB2312" w:cs="楷体_GB2312"/>
          <w:color w:val="auto"/>
          <w:sz w:val="32"/>
          <w:szCs w:val="32"/>
        </w:rPr>
        <w:t>年</w:t>
      </w:r>
      <w:r>
        <w:rPr>
          <w:rFonts w:hint="eastAsia" w:ascii="楷体_GB2312" w:hAnsi="楷体_GB2312" w:eastAsia="楷体_GB2312" w:cs="楷体_GB2312"/>
          <w:color w:val="auto"/>
          <w:sz w:val="32"/>
          <w:szCs w:val="32"/>
          <w:lang w:val="en-US" w:eastAsia="zh-CN"/>
        </w:rPr>
        <w:t>8</w:t>
      </w:r>
      <w:r>
        <w:rPr>
          <w:rFonts w:hint="eastAsia" w:ascii="楷体_GB2312" w:hAnsi="楷体_GB2312" w:eastAsia="楷体_GB2312" w:cs="楷体_GB2312"/>
          <w:color w:val="auto"/>
          <w:sz w:val="32"/>
          <w:szCs w:val="32"/>
        </w:rPr>
        <w:t>月）</w:t>
      </w:r>
    </w:p>
    <w:p>
      <w:pPr>
        <w:keepNext w:val="0"/>
        <w:keepLines w:val="0"/>
        <w:pageBreakBefore w:val="0"/>
        <w:widowControl w:val="0"/>
        <w:kinsoku/>
        <w:wordWrap/>
        <w:overflowPunct/>
        <w:topLinePunct w:val="0"/>
        <w:autoSpaceDE/>
        <w:autoSpaceDN/>
        <w:bidi w:val="0"/>
        <w:adjustRightInd/>
        <w:snapToGrid/>
        <w:spacing w:line="600" w:lineRule="exact"/>
        <w:ind w:left="0" w:firstLine="640" w:firstLineChars="200"/>
        <w:textAlignment w:val="auto"/>
        <w:rPr>
          <w:rFonts w:hint="eastAsia" w:ascii="仿宋_GB2312" w:hAnsi="仿宋_GB2312" w:eastAsia="仿宋_GB2312" w:cs="仿宋_GB2312"/>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韩城市职业中等专业学校（简称“韩城职专”）创建于1981年，是国家重点职业高中、陕西省示范性中等职业学校。先后荣获全国德育工作先进集体、陕西省职业教育先进集体等荣誉称号。2018年12月，被教育部、人社部、财政部确定为“国家中等职业教育改革发展示范学校”；2021年12月，经陕西省教育厅审核同意创建全国“双优”中职学校；2022年6月，被陕西省教育厅认定为“陕西省高水平示范性中等职业学校”。学校集职业教育、成人教育于一体，融学历教育、技能培训、继续教育为一校，是一所功能齐全的职业技术教育中心。</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秉承“为师生人生出彩奠基”的办学理念，以立德树人为根本，以服务发展为宗旨，以升学就业并重为目标，大力推行“校企合作、工学结合、能力为本、知行合一”人才培养模式，形成了“中高衔接、校企融合、五业联动（根植产业、对接行业、企业、服务个人职业、落地于专业）、服务发展”的办学特色。</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学校由本部和芝川校区两部分组成，总占地面积150亩，现有教职工350人，全日制在校生2577人，开设教学班72个，开设幼儿保育、旅游服务与管理、汽车运用与维修、工业机器人技术应用、计算机应用等13个专业。</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outlineLvl w:val="0"/>
        <w:rPr>
          <w:rFonts w:hint="eastAsia" w:ascii="仿宋_GB2312" w:hAnsi="仿宋_GB2312" w:eastAsia="仿宋_GB2312" w:cs="仿宋_GB2312"/>
          <w:b/>
          <w:bCs/>
          <w:color w:val="auto"/>
          <w:kern w:val="2"/>
          <w:sz w:val="32"/>
          <w:szCs w:val="32"/>
          <w:lang w:val="en-US" w:eastAsia="zh-CN" w:bidi="ar-SA"/>
        </w:rPr>
      </w:pPr>
      <w:bookmarkStart w:id="2" w:name="_Toc30682"/>
      <w:r>
        <w:rPr>
          <w:rFonts w:hint="eastAsia" w:ascii="Times New Roman" w:hAnsi="Times New Roman" w:eastAsia="仿宋_GB2312" w:cs="Times New Roman"/>
          <w:b/>
          <w:bCs/>
          <w:i w:val="0"/>
          <w:iCs w:val="0"/>
          <w:color w:val="auto"/>
          <w:sz w:val="32"/>
          <w:szCs w:val="32"/>
          <w:lang w:val="en-US" w:eastAsia="zh-CN"/>
        </w:rPr>
        <w:t>1</w:t>
      </w:r>
      <w:r>
        <w:rPr>
          <w:rFonts w:hint="eastAsia" w:ascii="仿宋_GB2312" w:hAnsi="仿宋_GB2312" w:eastAsia="仿宋_GB2312" w:cs="仿宋_GB2312"/>
          <w:b/>
          <w:bCs/>
          <w:color w:val="auto"/>
          <w:kern w:val="2"/>
          <w:sz w:val="32"/>
          <w:szCs w:val="32"/>
          <w:lang w:val="en-US" w:eastAsia="zh-CN" w:bidi="ar-SA"/>
        </w:rPr>
        <w:t xml:space="preserve"> 学生发展质量</w:t>
      </w:r>
      <w:bookmarkEnd w:id="2"/>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color w:val="auto"/>
          <w:sz w:val="32"/>
          <w:szCs w:val="32"/>
          <w:lang w:eastAsia="zh-CN"/>
        </w:rPr>
      </w:pPr>
      <w:r>
        <w:rPr>
          <w:rFonts w:hint="eastAsia" w:ascii="Times New Roman" w:hAnsi="Times New Roman" w:eastAsia="仿宋_GB2312" w:cs="Times New Roman"/>
          <w:b/>
          <w:bCs/>
          <w:i w:val="0"/>
          <w:iCs w:val="0"/>
          <w:color w:val="auto"/>
          <w:sz w:val="32"/>
          <w:szCs w:val="32"/>
          <w:lang w:val="en-US" w:eastAsia="zh-CN"/>
        </w:rPr>
        <w:t>1.1</w:t>
      </w:r>
      <w:r>
        <w:rPr>
          <w:rFonts w:hint="eastAsia" w:ascii="仿宋_GB2312" w:hAnsi="仿宋_GB2312" w:eastAsia="仿宋_GB2312" w:cs="仿宋_GB2312"/>
          <w:b/>
          <w:bCs/>
          <w:color w:val="auto"/>
          <w:kern w:val="2"/>
          <w:sz w:val="32"/>
          <w:szCs w:val="32"/>
          <w:lang w:val="en-US" w:eastAsia="zh-CN" w:bidi="ar-SA"/>
        </w:rPr>
        <w:t>党建引领</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党总支坚持“围绕中心抓党建，抓好党建促发展”的工作思路，以立德树人为根本，以提高教育教学质量为中心，以作风建设为重点，严格落实“三会一课”和组织生活会等党内政治生活制度，持续深化“双培养”机制，不断推进“党建＋”模式，全力打造“135党建+x”党建品牌，努力开创了党建工作和学校教学、政教等其他工作的深度融合新格局。</w:t>
      </w:r>
    </w:p>
    <w:p>
      <w:pPr>
        <w:pStyle w:val="2"/>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楷体_GB2312" w:hAnsi="楷体_GB2312" w:eastAsia="楷体_GB2312" w:cs="楷体_GB2312"/>
          <w:b w:val="0"/>
          <w:bCs w:val="0"/>
          <w:i w:val="0"/>
          <w:iCs w:val="0"/>
          <w:color w:val="auto"/>
          <w:sz w:val="32"/>
          <w:szCs w:val="32"/>
          <w:lang w:val="en-US" w:eastAsia="zh-CN"/>
        </w:rPr>
      </w:pPr>
      <w:r>
        <w:rPr>
          <w:rFonts w:hint="eastAsia" w:ascii="楷体_GB2312" w:hAnsi="楷体_GB2312" w:eastAsia="楷体_GB2312" w:cs="楷体_GB2312"/>
          <w:b w:val="0"/>
          <w:bCs w:val="0"/>
          <w:sz w:val="32"/>
          <w:szCs w:val="32"/>
          <w:lang w:eastAsia="zh-CN"/>
        </w:rPr>
        <w:t>表</w:t>
      </w:r>
      <w:r>
        <w:rPr>
          <w:rFonts w:hint="eastAsia" w:ascii="楷体_GB2312" w:hAnsi="楷体_GB2312" w:eastAsia="楷体_GB2312" w:cs="楷体_GB2312"/>
          <w:b w:val="0"/>
          <w:bCs w:val="0"/>
          <w:sz w:val="32"/>
          <w:szCs w:val="32"/>
          <w:lang w:val="en-US" w:eastAsia="zh-CN"/>
        </w:rPr>
        <w:t xml:space="preserve">1 </w:t>
      </w:r>
      <w:r>
        <w:rPr>
          <w:rFonts w:hint="eastAsia" w:ascii="楷体_GB2312" w:hAnsi="楷体_GB2312" w:eastAsia="楷体_GB2312" w:cs="楷体_GB2312"/>
          <w:b w:val="0"/>
          <w:bCs w:val="0"/>
          <w:sz w:val="32"/>
          <w:szCs w:val="32"/>
          <w:lang w:eastAsia="zh-CN"/>
        </w:rPr>
        <w:t>韩城职专党总支支部设置</w:t>
      </w:r>
    </w:p>
    <w:p>
      <w:pPr>
        <w:pStyle w:val="2"/>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textAlignment w:val="auto"/>
        <w:rPr>
          <w:rFonts w:hint="eastAsia"/>
          <w:lang w:val="en-US" w:eastAsia="zh-CN"/>
        </w:rPr>
      </w:pP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2115"/>
        <w:gridCol w:w="2805"/>
        <w:gridCol w:w="1365"/>
        <w:gridCol w:w="1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eastAsia" w:ascii="仿宋_GB2312" w:hAnsi="仿宋_GB2312" w:eastAsia="仿宋_GB2312" w:cs="仿宋_GB2312"/>
                <w:b/>
                <w:bCs/>
                <w:kern w:val="2"/>
                <w:sz w:val="32"/>
                <w:szCs w:val="32"/>
                <w:vertAlign w:val="baseline"/>
                <w:lang w:val="en-US" w:eastAsia="zh-CN" w:bidi="ar-SA"/>
              </w:rPr>
            </w:pPr>
            <w:r>
              <w:rPr>
                <w:rFonts w:hint="eastAsia" w:ascii="仿宋_GB2312" w:hAnsi="仿宋_GB2312" w:eastAsia="仿宋_GB2312" w:cs="仿宋_GB2312"/>
                <w:b/>
                <w:bCs/>
                <w:kern w:val="2"/>
                <w:sz w:val="32"/>
                <w:szCs w:val="32"/>
                <w:vertAlign w:val="baseline"/>
                <w:lang w:val="en-US" w:eastAsia="zh-CN" w:bidi="ar-SA"/>
              </w:rPr>
              <w:t>序号</w:t>
            </w:r>
          </w:p>
        </w:tc>
        <w:tc>
          <w:tcPr>
            <w:tcW w:w="2115" w:type="dxa"/>
          </w:tcPr>
          <w:p>
            <w:pPr>
              <w:jc w:val="center"/>
              <w:rPr>
                <w:rFonts w:hint="eastAsia" w:ascii="仿宋_GB2312" w:hAnsi="仿宋_GB2312" w:eastAsia="仿宋_GB2312" w:cs="仿宋_GB2312"/>
                <w:b/>
                <w:bCs/>
                <w:kern w:val="2"/>
                <w:sz w:val="32"/>
                <w:szCs w:val="32"/>
                <w:vertAlign w:val="baseline"/>
                <w:lang w:val="en-US" w:eastAsia="zh-CN" w:bidi="ar-SA"/>
              </w:rPr>
            </w:pPr>
            <w:r>
              <w:rPr>
                <w:rFonts w:hint="eastAsia" w:ascii="仿宋_GB2312" w:hAnsi="仿宋_GB2312" w:eastAsia="仿宋_GB2312" w:cs="仿宋_GB2312"/>
                <w:b/>
                <w:bCs/>
                <w:kern w:val="2"/>
                <w:sz w:val="32"/>
                <w:szCs w:val="32"/>
                <w:vertAlign w:val="baseline"/>
                <w:lang w:val="en-US" w:eastAsia="zh-CN" w:bidi="ar-SA"/>
              </w:rPr>
              <w:t>系部</w:t>
            </w:r>
          </w:p>
        </w:tc>
        <w:tc>
          <w:tcPr>
            <w:tcW w:w="2805" w:type="dxa"/>
          </w:tcPr>
          <w:p>
            <w:pPr>
              <w:jc w:val="center"/>
              <w:rPr>
                <w:rFonts w:hint="eastAsia" w:ascii="仿宋_GB2312" w:hAnsi="仿宋_GB2312" w:eastAsia="仿宋_GB2312" w:cs="仿宋_GB2312"/>
                <w:b/>
                <w:bCs/>
                <w:kern w:val="2"/>
                <w:sz w:val="32"/>
                <w:szCs w:val="32"/>
                <w:vertAlign w:val="baseline"/>
                <w:lang w:val="en-US" w:eastAsia="zh-CN" w:bidi="ar-SA"/>
              </w:rPr>
            </w:pPr>
            <w:r>
              <w:rPr>
                <w:rFonts w:hint="eastAsia" w:ascii="仿宋_GB2312" w:hAnsi="仿宋_GB2312" w:eastAsia="仿宋_GB2312" w:cs="仿宋_GB2312"/>
                <w:b/>
                <w:bCs/>
                <w:kern w:val="2"/>
                <w:sz w:val="32"/>
                <w:szCs w:val="32"/>
                <w:vertAlign w:val="baseline"/>
                <w:lang w:val="en-US" w:eastAsia="zh-CN" w:bidi="ar-SA"/>
              </w:rPr>
              <w:t>党支部</w:t>
            </w:r>
          </w:p>
        </w:tc>
        <w:tc>
          <w:tcPr>
            <w:tcW w:w="1365" w:type="dxa"/>
          </w:tcPr>
          <w:p>
            <w:pPr>
              <w:jc w:val="center"/>
              <w:rPr>
                <w:rFonts w:hint="eastAsia" w:ascii="仿宋_GB2312" w:hAnsi="仿宋_GB2312" w:eastAsia="仿宋_GB2312" w:cs="仿宋_GB2312"/>
                <w:b/>
                <w:bCs/>
                <w:kern w:val="2"/>
                <w:sz w:val="32"/>
                <w:szCs w:val="32"/>
                <w:vertAlign w:val="baseline"/>
                <w:lang w:val="en-US" w:eastAsia="zh-CN" w:bidi="ar-SA"/>
              </w:rPr>
            </w:pPr>
            <w:r>
              <w:rPr>
                <w:rFonts w:hint="eastAsia" w:ascii="仿宋_GB2312" w:hAnsi="仿宋_GB2312" w:eastAsia="仿宋_GB2312" w:cs="仿宋_GB2312"/>
                <w:b/>
                <w:bCs/>
                <w:kern w:val="2"/>
                <w:sz w:val="32"/>
                <w:szCs w:val="32"/>
                <w:vertAlign w:val="baseline"/>
                <w:lang w:val="en-US" w:eastAsia="zh-CN" w:bidi="ar-SA"/>
              </w:rPr>
              <w:t>负责人</w:t>
            </w:r>
          </w:p>
        </w:tc>
        <w:tc>
          <w:tcPr>
            <w:tcW w:w="1686" w:type="dxa"/>
          </w:tcPr>
          <w:p>
            <w:pPr>
              <w:jc w:val="center"/>
              <w:rPr>
                <w:rFonts w:hint="eastAsia" w:ascii="仿宋_GB2312" w:hAnsi="仿宋_GB2312" w:eastAsia="仿宋_GB2312" w:cs="仿宋_GB2312"/>
                <w:b/>
                <w:bCs/>
                <w:kern w:val="2"/>
                <w:sz w:val="32"/>
                <w:szCs w:val="32"/>
                <w:vertAlign w:val="baseline"/>
                <w:lang w:val="en-US" w:eastAsia="zh-CN" w:bidi="ar-SA"/>
              </w:rPr>
            </w:pPr>
            <w:r>
              <w:rPr>
                <w:rFonts w:hint="eastAsia" w:ascii="仿宋_GB2312" w:hAnsi="仿宋_GB2312" w:eastAsia="仿宋_GB2312" w:cs="仿宋_GB2312"/>
                <w:b/>
                <w:bCs/>
                <w:kern w:val="2"/>
                <w:sz w:val="32"/>
                <w:szCs w:val="32"/>
                <w:vertAlign w:val="baseline"/>
                <w:lang w:val="en-US" w:eastAsia="zh-CN" w:bidi="ar-SA"/>
              </w:rPr>
              <w:t>党员人数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default"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1</w:t>
            </w:r>
          </w:p>
        </w:tc>
        <w:tc>
          <w:tcPr>
            <w:tcW w:w="2115" w:type="dxa"/>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师范艺术系</w:t>
            </w: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师范艺术系支部</w:t>
            </w: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柳锐侠</w:t>
            </w:r>
          </w:p>
        </w:tc>
        <w:tc>
          <w:tcPr>
            <w:tcW w:w="1686"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eastAsia"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2</w:t>
            </w:r>
          </w:p>
        </w:tc>
        <w:tc>
          <w:tcPr>
            <w:tcW w:w="2115" w:type="dxa"/>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基础教学部</w:t>
            </w: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基础教学系支部</w:t>
            </w: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倪娟</w:t>
            </w:r>
          </w:p>
        </w:tc>
        <w:tc>
          <w:tcPr>
            <w:tcW w:w="1686"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default"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3</w:t>
            </w:r>
          </w:p>
        </w:tc>
        <w:tc>
          <w:tcPr>
            <w:tcW w:w="2115" w:type="dxa"/>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旅游管理系</w:t>
            </w: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旅游管理系支部</w:t>
            </w: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冯晓英</w:t>
            </w:r>
          </w:p>
        </w:tc>
        <w:tc>
          <w:tcPr>
            <w:tcW w:w="1686"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default"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4</w:t>
            </w:r>
          </w:p>
        </w:tc>
        <w:tc>
          <w:tcPr>
            <w:tcW w:w="2115" w:type="dxa"/>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机电工程系、</w:t>
            </w:r>
          </w:p>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建筑工程系</w:t>
            </w: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机电建筑系支部</w:t>
            </w: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汪鹏飞</w:t>
            </w:r>
          </w:p>
        </w:tc>
        <w:tc>
          <w:tcPr>
            <w:tcW w:w="1686"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default"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5</w:t>
            </w:r>
          </w:p>
        </w:tc>
        <w:tc>
          <w:tcPr>
            <w:tcW w:w="2115" w:type="dxa"/>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信息工程系、</w:t>
            </w:r>
          </w:p>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汽车工程系</w:t>
            </w: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信息汽车工程系支部</w:t>
            </w: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许阳</w:t>
            </w:r>
          </w:p>
        </w:tc>
        <w:tc>
          <w:tcPr>
            <w:tcW w:w="1686" w:type="dxa"/>
            <w:vAlign w:val="top"/>
          </w:tcPr>
          <w:p>
            <w:pPr>
              <w:jc w:val="center"/>
              <w:rPr>
                <w:rFonts w:hint="eastAsia"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pPr>
              <w:jc w:val="center"/>
              <w:rPr>
                <w:rFonts w:hint="eastAsia" w:ascii="仿宋_GB2312" w:hAnsi="仿宋_GB2312" w:eastAsia="仿宋_GB2312" w:cs="仿宋_GB2312"/>
                <w:kern w:val="2"/>
                <w:sz w:val="32"/>
                <w:szCs w:val="32"/>
                <w:vertAlign w:val="baseline"/>
                <w:lang w:val="en-US" w:eastAsia="zh-CN" w:bidi="ar-SA"/>
              </w:rPr>
            </w:pPr>
            <w:r>
              <w:rPr>
                <w:rFonts w:hint="eastAsia" w:ascii="仿宋_GB2312" w:hAnsi="仿宋_GB2312" w:eastAsia="仿宋_GB2312" w:cs="仿宋_GB2312"/>
                <w:kern w:val="2"/>
                <w:sz w:val="32"/>
                <w:szCs w:val="32"/>
                <w:vertAlign w:val="baseline"/>
                <w:lang w:val="en-US" w:eastAsia="zh-CN" w:bidi="ar-SA"/>
              </w:rPr>
              <w:t>合计</w:t>
            </w:r>
          </w:p>
        </w:tc>
        <w:tc>
          <w:tcPr>
            <w:tcW w:w="2115" w:type="dxa"/>
          </w:tcPr>
          <w:p>
            <w:pPr>
              <w:rPr>
                <w:rFonts w:hint="eastAsia" w:ascii="仿宋_GB2312" w:hAnsi="仿宋_GB2312" w:eastAsia="仿宋_GB2312" w:cs="仿宋_GB2312"/>
                <w:kern w:val="2"/>
                <w:sz w:val="28"/>
                <w:szCs w:val="28"/>
                <w:vertAlign w:val="baseline"/>
                <w:lang w:val="en-US" w:eastAsia="zh-CN" w:bidi="ar-SA"/>
              </w:rPr>
            </w:pPr>
          </w:p>
        </w:tc>
        <w:tc>
          <w:tcPr>
            <w:tcW w:w="2805" w:type="dxa"/>
            <w:vAlign w:val="top"/>
          </w:tcPr>
          <w:p>
            <w:pPr>
              <w:rPr>
                <w:rFonts w:hint="eastAsia" w:ascii="仿宋_GB2312" w:hAnsi="仿宋_GB2312" w:eastAsia="仿宋_GB2312" w:cs="仿宋_GB2312"/>
                <w:kern w:val="2"/>
                <w:sz w:val="28"/>
                <w:szCs w:val="28"/>
                <w:vertAlign w:val="baseline"/>
                <w:lang w:val="en-US" w:eastAsia="zh-CN" w:bidi="ar-SA"/>
              </w:rPr>
            </w:pPr>
          </w:p>
        </w:tc>
        <w:tc>
          <w:tcPr>
            <w:tcW w:w="1365" w:type="dxa"/>
            <w:vAlign w:val="top"/>
          </w:tcPr>
          <w:p>
            <w:pPr>
              <w:jc w:val="center"/>
              <w:rPr>
                <w:rFonts w:hint="eastAsia" w:ascii="仿宋_GB2312" w:hAnsi="仿宋_GB2312" w:eastAsia="仿宋_GB2312" w:cs="仿宋_GB2312"/>
                <w:kern w:val="2"/>
                <w:sz w:val="28"/>
                <w:szCs w:val="28"/>
                <w:vertAlign w:val="baseline"/>
                <w:lang w:val="en-US" w:eastAsia="zh-CN" w:bidi="ar-SA"/>
              </w:rPr>
            </w:pPr>
          </w:p>
        </w:tc>
        <w:tc>
          <w:tcPr>
            <w:tcW w:w="1686" w:type="dxa"/>
            <w:vAlign w:val="top"/>
          </w:tcPr>
          <w:p>
            <w:pPr>
              <w:jc w:val="center"/>
              <w:rPr>
                <w:rFonts w:hint="default" w:ascii="仿宋_GB2312" w:hAnsi="仿宋_GB2312" w:eastAsia="仿宋_GB2312" w:cs="仿宋_GB2312"/>
                <w:kern w:val="2"/>
                <w:sz w:val="28"/>
                <w:szCs w:val="28"/>
                <w:vertAlign w:val="baseline"/>
                <w:lang w:val="en-US" w:eastAsia="zh-CN" w:bidi="ar-SA"/>
              </w:rPr>
            </w:pPr>
            <w:r>
              <w:rPr>
                <w:rFonts w:hint="eastAsia" w:ascii="仿宋_GB2312" w:hAnsi="仿宋_GB2312" w:eastAsia="仿宋_GB2312" w:cs="仿宋_GB2312"/>
                <w:kern w:val="2"/>
                <w:sz w:val="28"/>
                <w:szCs w:val="28"/>
                <w:vertAlign w:val="baseline"/>
                <w:lang w:val="en-US" w:eastAsia="zh-CN" w:bidi="ar-SA"/>
              </w:rPr>
              <w:t>75</w:t>
            </w:r>
          </w:p>
        </w:tc>
      </w:tr>
    </w:tbl>
    <w:p>
      <w:pPr>
        <w:pStyle w:val="2"/>
        <w:ind w:left="0" w:leftChars="0" w:firstLine="0" w:firstLineChars="0"/>
        <w:rPr>
          <w:rFonts w:hint="eastAsia"/>
          <w:lang w:val="en-US" w:eastAsia="zh-CN"/>
        </w:rPr>
      </w:pPr>
    </w:p>
    <w:p>
      <w:pPr>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drawing>
          <wp:inline distT="0" distB="0" distL="114300" distR="114300">
            <wp:extent cx="5538470" cy="3658870"/>
            <wp:effectExtent l="0" t="0" r="5080" b="17780"/>
            <wp:docPr id="50" name="图片 50" descr="ef73206390374ec4b0bdf64fd9af5e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ef73206390374ec4b0bdf64fd9af5efc"/>
                    <pic:cNvPicPr>
                      <a:picLocks noChangeAspect="1"/>
                    </pic:cNvPicPr>
                  </pic:nvPicPr>
                  <pic:blipFill>
                    <a:blip r:embed="rId7"/>
                    <a:srcRect b="3758"/>
                    <a:stretch>
                      <a:fillRect/>
                    </a:stretch>
                  </pic:blipFill>
                  <pic:spPr>
                    <a:xfrm>
                      <a:off x="0" y="0"/>
                      <a:ext cx="5538470" cy="3658870"/>
                    </a:xfrm>
                    <a:prstGeom prst="rect">
                      <a:avLst/>
                    </a:prstGeom>
                  </pic:spPr>
                </pic:pic>
              </a:graphicData>
            </a:graphic>
          </wp:inline>
        </w:drawing>
      </w:r>
    </w:p>
    <w:p>
      <w:pPr>
        <w:jc w:val="center"/>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图1 师范艺术系支部书记讲党课</w:t>
      </w:r>
    </w:p>
    <w:p>
      <w:pPr>
        <w:pStyle w:val="2"/>
        <w:ind w:left="0" w:leftChars="0"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drawing>
          <wp:inline distT="0" distB="0" distL="114300" distR="114300">
            <wp:extent cx="5539105" cy="3959860"/>
            <wp:effectExtent l="0" t="0" r="4445" b="2540"/>
            <wp:docPr id="46" name="图片 46" descr="8e9e82f7b4e041b9b4a0d1990e86b8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8e9e82f7b4e041b9b4a0d1990e86b89e"/>
                    <pic:cNvPicPr>
                      <a:picLocks noChangeAspect="1"/>
                    </pic:cNvPicPr>
                  </pic:nvPicPr>
                  <pic:blipFill>
                    <a:blip r:embed="rId8"/>
                    <a:stretch>
                      <a:fillRect/>
                    </a:stretch>
                  </pic:blipFill>
                  <pic:spPr>
                    <a:xfrm>
                      <a:off x="0" y="0"/>
                      <a:ext cx="5539105" cy="3959860"/>
                    </a:xfrm>
                    <a:prstGeom prst="rect">
                      <a:avLst/>
                    </a:prstGeom>
                  </pic:spPr>
                </pic:pic>
              </a:graphicData>
            </a:graphic>
          </wp:inline>
        </w:drawing>
      </w:r>
    </w:p>
    <w:p>
      <w:pPr>
        <w:jc w:val="center"/>
        <w:rPr>
          <w:rFonts w:hint="default"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图2  基础教学系支部召开党员大会</w:t>
      </w:r>
    </w:p>
    <w:p>
      <w:pPr>
        <w:pStyle w:val="3"/>
        <w:ind w:left="0" w:leftChars="0"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drawing>
          <wp:inline distT="0" distB="0" distL="114300" distR="114300">
            <wp:extent cx="5601335" cy="3435985"/>
            <wp:effectExtent l="0" t="0" r="18415" b="12065"/>
            <wp:docPr id="52" name="图片 52" descr="4346ea37510b40b5893805cb77c12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4346ea37510b40b5893805cb77c12ee1"/>
                    <pic:cNvPicPr>
                      <a:picLocks noChangeAspect="1"/>
                    </pic:cNvPicPr>
                  </pic:nvPicPr>
                  <pic:blipFill>
                    <a:blip r:embed="rId9"/>
                    <a:stretch>
                      <a:fillRect/>
                    </a:stretch>
                  </pic:blipFill>
                  <pic:spPr>
                    <a:xfrm>
                      <a:off x="0" y="0"/>
                      <a:ext cx="5601335" cy="3435985"/>
                    </a:xfrm>
                    <a:prstGeom prst="rect">
                      <a:avLst/>
                    </a:prstGeom>
                  </pic:spPr>
                </pic:pic>
              </a:graphicData>
            </a:graphic>
          </wp:inline>
        </w:drawing>
      </w:r>
    </w:p>
    <w:p>
      <w:pPr>
        <w:jc w:val="center"/>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图3 机电建筑系支部召开党员大会</w:t>
      </w:r>
    </w:p>
    <w:p>
      <w:pPr>
        <w:rPr>
          <w:rFonts w:hint="eastAsia"/>
          <w:lang w:val="en-US" w:eastAsia="zh-CN"/>
        </w:rPr>
      </w:pPr>
      <w:r>
        <w:rPr>
          <w:rFonts w:hint="eastAsia" w:ascii="仿宋_GB2312" w:hAnsi="仿宋_GB2312" w:eastAsia="仿宋_GB2312" w:cs="仿宋_GB2312"/>
          <w:kern w:val="2"/>
          <w:sz w:val="32"/>
          <w:szCs w:val="32"/>
          <w:lang w:val="en-US" w:eastAsia="zh-CN" w:bidi="ar-SA"/>
        </w:rPr>
        <w:drawing>
          <wp:anchor distT="0" distB="0" distL="114300" distR="114300" simplePos="0" relativeHeight="251661312" behindDoc="0" locked="0" layoutInCell="1" allowOverlap="1">
            <wp:simplePos x="0" y="0"/>
            <wp:positionH relativeFrom="column">
              <wp:posOffset>-47625</wp:posOffset>
            </wp:positionH>
            <wp:positionV relativeFrom="paragraph">
              <wp:posOffset>76200</wp:posOffset>
            </wp:positionV>
            <wp:extent cx="5622925" cy="3467100"/>
            <wp:effectExtent l="0" t="0" r="15875" b="0"/>
            <wp:wrapTopAndBottom/>
            <wp:docPr id="54" name="图片 54" descr="cd2882e1375f488ea378d37631adf9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d2882e1375f488ea378d37631adf9c9"/>
                    <pic:cNvPicPr>
                      <a:picLocks noChangeAspect="1"/>
                    </pic:cNvPicPr>
                  </pic:nvPicPr>
                  <pic:blipFill>
                    <a:blip r:embed="rId10"/>
                    <a:srcRect b="12500"/>
                    <a:stretch>
                      <a:fillRect/>
                    </a:stretch>
                  </pic:blipFill>
                  <pic:spPr>
                    <a:xfrm>
                      <a:off x="0" y="0"/>
                      <a:ext cx="5622925" cy="3467100"/>
                    </a:xfrm>
                    <a:prstGeom prst="rect">
                      <a:avLst/>
                    </a:prstGeom>
                  </pic:spPr>
                </pic:pic>
              </a:graphicData>
            </a:graphic>
          </wp:anchor>
        </w:drawing>
      </w:r>
    </w:p>
    <w:p>
      <w:pPr>
        <w:jc w:val="center"/>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图4 师范艺术系支部召开组织生活会</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是党总支选举了新一届党总支班子，同时根据系部特点设置党组织，把支部建在“连”上，把党支部设置在系部上，科学设置了5个系部党支部。将党支部党建工作与系部工作同部署、同推进、同考核，以系部为主阵地，加强党的领导，贯彻党的教育方针，开展师生思想政治教育、作风建设和“双培养”等工作，充分发挥了党支部的主体作用和学习宣传教育、思想政治引领、落实党内基本制度、激发党员创新活力方面的重要作用。</w:t>
      </w:r>
    </w:p>
    <w:p>
      <w:pPr>
        <w:pStyle w:val="2"/>
        <w:rPr>
          <w:rFonts w:hint="eastAsia"/>
          <w:lang w:val="en-US" w:eastAsia="zh-CN"/>
        </w:rPr>
      </w:pPr>
    </w:p>
    <w:p>
      <w:pPr>
        <w:jc w:val="center"/>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表2 韩城职专党总支印发文件清单</w:t>
      </w:r>
    </w:p>
    <w:p>
      <w:pPr>
        <w:pStyle w:val="2"/>
        <w:rPr>
          <w:rFonts w:hint="eastAsia"/>
          <w:lang w:eastAsia="zh-CN"/>
        </w:rPr>
      </w:pP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5352"/>
        <w:gridCol w:w="1357"/>
        <w:gridCol w:w="13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735"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序号</w:t>
            </w:r>
          </w:p>
        </w:tc>
        <w:tc>
          <w:tcPr>
            <w:tcW w:w="5352"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文件名称</w:t>
            </w:r>
          </w:p>
        </w:tc>
        <w:tc>
          <w:tcPr>
            <w:tcW w:w="1357"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文号</w:t>
            </w:r>
          </w:p>
        </w:tc>
        <w:tc>
          <w:tcPr>
            <w:tcW w:w="1374"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735" w:type="dxa"/>
            <w:vAlign w:val="center"/>
          </w:tcPr>
          <w:p>
            <w:pPr>
              <w:pStyle w:val="2"/>
              <w:ind w:left="0" w:leftChars="0" w:firstLine="0" w:firstLineChars="0"/>
              <w:jc w:val="center"/>
              <w:rPr>
                <w:rFonts w:hint="default"/>
                <w:vertAlign w:val="baseline"/>
                <w:lang w:val="en-US" w:eastAsia="zh-CN"/>
              </w:rPr>
            </w:pPr>
            <w:r>
              <w:rPr>
                <w:rFonts w:hint="eastAsia"/>
                <w:vertAlign w:val="baseline"/>
                <w:lang w:val="en-US" w:eastAsia="zh-CN"/>
              </w:rPr>
              <w:t>1</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党建工作计划</w:t>
            </w:r>
          </w:p>
        </w:tc>
        <w:tc>
          <w:tcPr>
            <w:tcW w:w="1357" w:type="dxa"/>
            <w:vAlign w:val="center"/>
          </w:tcPr>
          <w:p>
            <w:pPr>
              <w:pStyle w:val="2"/>
              <w:tabs>
                <w:tab w:val="center" w:pos="785"/>
              </w:tabs>
              <w:ind w:left="0" w:leftChars="0" w:firstLine="0" w:firstLineChars="0"/>
              <w:jc w:val="center"/>
              <w:rPr>
                <w:rFonts w:hint="eastAsia"/>
                <w:vertAlign w:val="baseline"/>
                <w:lang w:val="en-US" w:eastAsia="zh-CN"/>
              </w:rPr>
            </w:pPr>
            <w:r>
              <w:rPr>
                <w:rFonts w:hint="eastAsia"/>
                <w:vertAlign w:val="baseline"/>
                <w:lang w:val="en-US" w:eastAsia="zh-CN"/>
              </w:rPr>
              <w:t>[2021]1号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2021.08.31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735" w:type="dxa"/>
            <w:vAlign w:val="center"/>
          </w:tcPr>
          <w:p>
            <w:pPr>
              <w:pStyle w:val="2"/>
              <w:ind w:left="0" w:leftChars="0" w:firstLine="0" w:firstLineChars="0"/>
              <w:jc w:val="center"/>
              <w:rPr>
                <w:rFonts w:hint="default"/>
                <w:vertAlign w:val="baseline"/>
                <w:lang w:val="en-US" w:eastAsia="zh-CN"/>
              </w:rPr>
            </w:pPr>
            <w:r>
              <w:rPr>
                <w:rFonts w:hint="eastAsia"/>
                <w:vertAlign w:val="baseline"/>
                <w:lang w:val="en-US" w:eastAsia="zh-CN"/>
              </w:rPr>
              <w:t>2</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韩城职专党总支标准化建设实施方案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[2021]2号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2021.09.22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735" w:type="dxa"/>
            <w:vAlign w:val="center"/>
          </w:tcPr>
          <w:p>
            <w:pPr>
              <w:pStyle w:val="2"/>
              <w:ind w:left="0" w:leftChars="0" w:firstLine="0" w:firstLineChars="0"/>
              <w:jc w:val="center"/>
              <w:rPr>
                <w:rFonts w:hint="default"/>
                <w:vertAlign w:val="baseline"/>
                <w:lang w:val="en-US" w:eastAsia="zh-CN"/>
              </w:rPr>
            </w:pPr>
            <w:r>
              <w:rPr>
                <w:rFonts w:hint="eastAsia"/>
                <w:vertAlign w:val="baseline"/>
                <w:lang w:val="en-US" w:eastAsia="zh-CN"/>
              </w:rPr>
              <w:t>3</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关于落实党建工作责任制的实施细则（试行）</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[2021]3号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trPr>
        <w:tc>
          <w:tcPr>
            <w:tcW w:w="735" w:type="dxa"/>
            <w:vAlign w:val="center"/>
          </w:tcPr>
          <w:p>
            <w:pPr>
              <w:pStyle w:val="2"/>
              <w:ind w:left="0" w:leftChars="0" w:firstLine="0" w:firstLineChars="0"/>
              <w:jc w:val="center"/>
              <w:rPr>
                <w:rFonts w:hint="default"/>
                <w:vertAlign w:val="baseline"/>
                <w:lang w:val="en-US" w:eastAsia="zh-CN"/>
              </w:rPr>
            </w:pPr>
            <w:r>
              <w:rPr>
                <w:rFonts w:hint="eastAsia"/>
                <w:vertAlign w:val="baseline"/>
                <w:lang w:val="en-US" w:eastAsia="zh-CN"/>
              </w:rPr>
              <w:t>4</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关于中小学有偿补课和教师违规收受礼品礼金问题专项整治工作方案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[2021]4号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2021.11.17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35" w:type="dxa"/>
            <w:vAlign w:val="center"/>
          </w:tcPr>
          <w:p>
            <w:pPr>
              <w:pStyle w:val="2"/>
              <w:ind w:left="0" w:leftChars="0" w:firstLine="0" w:firstLineChars="0"/>
              <w:jc w:val="center"/>
              <w:rPr>
                <w:rFonts w:hint="default"/>
                <w:vertAlign w:val="baseline"/>
                <w:lang w:val="en-US" w:eastAsia="zh-CN"/>
              </w:rPr>
            </w:pPr>
            <w:r>
              <w:rPr>
                <w:rFonts w:hint="eastAsia"/>
                <w:vertAlign w:val="baseline"/>
                <w:lang w:val="en-US" w:eastAsia="zh-CN"/>
              </w:rPr>
              <w:t>5</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“强国有我、请党放心”活动方案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[2021]5号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2021.11.24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35"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6</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韩城职专党总支党建工作计划</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[2022]1号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2022.02.22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35"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7</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韩城职专党总支班子查摆问题整改工作方案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[2022]2号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2022.02.23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trPr>
        <w:tc>
          <w:tcPr>
            <w:tcW w:w="735"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8</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关于开展“高举旗帜、响应号召、奋进新时代、启航新征程”主题活动的实施方案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[2022]3号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2022.03.02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35"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9</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韩城职专高水平领导干部建设方案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[2022]4号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2022.03.15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35"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10</w:t>
            </w:r>
          </w:p>
        </w:tc>
        <w:tc>
          <w:tcPr>
            <w:tcW w:w="5352" w:type="dxa"/>
            <w:vAlign w:val="center"/>
          </w:tcPr>
          <w:p>
            <w:pPr>
              <w:pStyle w:val="2"/>
              <w:ind w:left="0" w:leftChars="0" w:firstLine="0" w:firstLineChars="0"/>
              <w:jc w:val="both"/>
              <w:rPr>
                <w:rFonts w:hint="eastAsia"/>
                <w:vertAlign w:val="baseline"/>
                <w:lang w:val="en-US" w:eastAsia="zh-CN"/>
              </w:rPr>
            </w:pPr>
            <w:r>
              <w:rPr>
                <w:rFonts w:hint="eastAsia"/>
                <w:vertAlign w:val="baseline"/>
                <w:lang w:val="en-US" w:eastAsia="zh-CN"/>
              </w:rPr>
              <w:t>“大学习。大调研、大讨论、大培训、大转变、大提升”教育实践活动方案</w:t>
            </w:r>
          </w:p>
        </w:tc>
        <w:tc>
          <w:tcPr>
            <w:tcW w:w="1357"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[2022]5号</w:t>
            </w:r>
          </w:p>
        </w:tc>
        <w:tc>
          <w:tcPr>
            <w:tcW w:w="1374" w:type="dxa"/>
            <w:vAlign w:val="center"/>
          </w:tcPr>
          <w:p>
            <w:pPr>
              <w:pStyle w:val="2"/>
              <w:ind w:left="0" w:leftChars="0" w:firstLine="0" w:firstLineChars="0"/>
              <w:jc w:val="center"/>
              <w:rPr>
                <w:rFonts w:hint="eastAsia"/>
                <w:vertAlign w:val="baseline"/>
                <w:lang w:val="en-US" w:eastAsia="zh-CN"/>
              </w:rPr>
            </w:pPr>
            <w:r>
              <w:rPr>
                <w:rFonts w:hint="eastAsia"/>
                <w:vertAlign w:val="baseline"/>
                <w:lang w:val="en-US" w:eastAsia="zh-CN"/>
              </w:rPr>
              <w:t>2022.03.03</w:t>
            </w:r>
          </w:p>
        </w:tc>
      </w:tr>
    </w:tbl>
    <w:p>
      <w:pPr>
        <w:pStyle w:val="2"/>
        <w:ind w:left="0" w:leftChars="0" w:firstLine="0" w:firstLineChars="0"/>
        <w:rPr>
          <w:rFonts w:hint="eastAsia"/>
          <w:lang w:val="en-US" w:eastAsia="zh-CN"/>
        </w:rPr>
      </w:pPr>
    </w:p>
    <w:p>
      <w:pPr>
        <w:pStyle w:val="2"/>
        <w:ind w:left="0" w:leftChars="0" w:firstLine="0" w:firstLineChars="0"/>
        <w:rPr>
          <w:rFonts w:hint="eastAsia"/>
          <w:lang w:val="en-US" w:eastAsia="zh-CN"/>
        </w:rPr>
      </w:pPr>
    </w:p>
    <w:p>
      <w:pPr>
        <w:pStyle w:val="3"/>
        <w:ind w:left="0" w:leftChars="0" w:firstLine="0" w:firstLineChars="0"/>
        <w:rPr>
          <w:rFonts w:hint="eastAsia"/>
          <w:lang w:val="en-US" w:eastAsia="zh-CN"/>
        </w:rPr>
      </w:pPr>
      <w:r>
        <w:rPr>
          <w:rFonts w:hint="eastAsia"/>
          <w:lang w:val="en-US" w:eastAsia="zh-CN"/>
        </w:rPr>
        <w:drawing>
          <wp:inline distT="0" distB="0" distL="114300" distR="114300">
            <wp:extent cx="5565775" cy="4174490"/>
            <wp:effectExtent l="0" t="0" r="15875" b="16510"/>
            <wp:docPr id="47" name="图片 47" descr="微信图片_2022121309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微信图片_20221213091123"/>
                    <pic:cNvPicPr>
                      <a:picLocks noChangeAspect="1"/>
                    </pic:cNvPicPr>
                  </pic:nvPicPr>
                  <pic:blipFill>
                    <a:blip r:embed="rId11"/>
                    <a:stretch>
                      <a:fillRect/>
                    </a:stretch>
                  </pic:blipFill>
                  <pic:spPr>
                    <a:xfrm>
                      <a:off x="0" y="0"/>
                      <a:ext cx="5565775" cy="4174490"/>
                    </a:xfrm>
                    <a:prstGeom prst="rect">
                      <a:avLst/>
                    </a:prstGeom>
                  </pic:spPr>
                </pic:pic>
              </a:graphicData>
            </a:graphic>
          </wp:inline>
        </w:drawing>
      </w:r>
    </w:p>
    <w:p>
      <w:pPr>
        <w:pStyle w:val="2"/>
        <w:ind w:left="0" w:leftChars="0" w:firstLine="0" w:firstLineChars="0"/>
        <w:jc w:val="center"/>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图5  文件照片</w:t>
      </w:r>
    </w:p>
    <w:p>
      <w:pPr>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二是先后制定印发了《党建工作计划》《韩城职专高水平领导干部建设方案》《党员积分制管理实施方案》《党建工作责任制的实施细则（试行）》《韩城职专标准化党组织建设实施方案》等文件，明确党建工作任务和重点工作，加强学校领导干部和教师队伍建设，推进党组织标准化建设，充分发挥党组织的战斗堡垒作用和先锋模范作用。</w:t>
      </w:r>
    </w:p>
    <w:p>
      <w:pPr>
        <w:pStyle w:val="2"/>
        <w:rPr>
          <w:rFonts w:hint="eastAsia"/>
          <w:lang w:val="en-US" w:eastAsia="zh-CN"/>
        </w:rPr>
      </w:pPr>
    </w:p>
    <w:p>
      <w:pPr>
        <w:pStyle w:val="3"/>
        <w:rPr>
          <w:rFonts w:hint="eastAsia"/>
          <w:lang w:val="en-US" w:eastAsia="zh-CN"/>
        </w:rPr>
      </w:pPr>
    </w:p>
    <w:p>
      <w:pPr>
        <w:rPr>
          <w:rFonts w:hint="eastAsia"/>
          <w:lang w:val="en-US" w:eastAsia="zh-CN"/>
        </w:rPr>
      </w:pPr>
    </w:p>
    <w:p>
      <w:pPr>
        <w:pStyle w:val="2"/>
        <w:rPr>
          <w:rFonts w:hint="eastAsia"/>
          <w:lang w:val="en-US" w:eastAsia="zh-CN"/>
        </w:rPr>
      </w:pPr>
    </w:p>
    <w:p>
      <w:pPr>
        <w:pStyle w:val="3"/>
        <w:rPr>
          <w:rFonts w:hint="eastAsia"/>
          <w:lang w:val="en-US" w:eastAsia="zh-CN"/>
        </w:rPr>
      </w:pPr>
    </w:p>
    <w:p>
      <w:pPr>
        <w:pStyle w:val="2"/>
        <w:ind w:left="0" w:leftChars="0" w:firstLine="0" w:firstLineChars="0"/>
        <w:jc w:val="center"/>
        <w:rPr>
          <w:rFonts w:hint="eastAsia"/>
          <w:lang w:val="en-US" w:eastAsia="zh-CN"/>
        </w:rPr>
      </w:pPr>
      <w:r>
        <w:rPr>
          <w:rFonts w:hint="eastAsia" w:ascii="楷体_GB2312" w:hAnsi="楷体_GB2312" w:eastAsia="楷体_GB2312" w:cs="楷体_GB2312"/>
          <w:b w:val="0"/>
          <w:bCs w:val="0"/>
          <w:kern w:val="2"/>
          <w:sz w:val="32"/>
          <w:szCs w:val="32"/>
          <w:lang w:val="en-US" w:eastAsia="zh-CN" w:bidi="ar-SA"/>
        </w:rPr>
        <w:t>表3 韩城职专党总支活动开展情况</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2416"/>
        <w:gridCol w:w="1418"/>
        <w:gridCol w:w="2588"/>
        <w:gridCol w:w="1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834" w:type="dxa"/>
            <w:vAlign w:val="center"/>
          </w:tcPr>
          <w:p>
            <w:pPr>
              <w:bidi w:val="0"/>
              <w:jc w:val="center"/>
              <w:rPr>
                <w:rFonts w:hint="eastAsia"/>
                <w:b/>
                <w:bCs/>
                <w:sz w:val="28"/>
                <w:szCs w:val="28"/>
                <w:lang w:val="en-US" w:eastAsia="zh-CN"/>
              </w:rPr>
            </w:pPr>
            <w:r>
              <w:rPr>
                <w:rFonts w:hint="eastAsia"/>
                <w:b/>
                <w:bCs/>
                <w:sz w:val="28"/>
                <w:szCs w:val="28"/>
                <w:lang w:val="en-US" w:eastAsia="zh-CN"/>
              </w:rPr>
              <w:t>序号</w:t>
            </w:r>
          </w:p>
        </w:tc>
        <w:tc>
          <w:tcPr>
            <w:tcW w:w="2416" w:type="dxa"/>
            <w:vAlign w:val="center"/>
          </w:tcPr>
          <w:p>
            <w:pPr>
              <w:bidi w:val="0"/>
              <w:jc w:val="center"/>
              <w:rPr>
                <w:rFonts w:hint="eastAsia"/>
                <w:b/>
                <w:bCs/>
                <w:sz w:val="28"/>
                <w:szCs w:val="28"/>
                <w:lang w:val="en-US" w:eastAsia="zh-CN"/>
              </w:rPr>
            </w:pPr>
            <w:r>
              <w:rPr>
                <w:rFonts w:hint="eastAsia"/>
                <w:b/>
                <w:bCs/>
                <w:sz w:val="28"/>
                <w:szCs w:val="28"/>
                <w:lang w:val="en-US" w:eastAsia="zh-CN"/>
              </w:rPr>
              <w:t>活动名称</w:t>
            </w:r>
          </w:p>
        </w:tc>
        <w:tc>
          <w:tcPr>
            <w:tcW w:w="1418" w:type="dxa"/>
            <w:vAlign w:val="center"/>
          </w:tcPr>
          <w:p>
            <w:pPr>
              <w:bidi w:val="0"/>
              <w:jc w:val="center"/>
              <w:rPr>
                <w:rFonts w:hint="eastAsia"/>
                <w:b/>
                <w:bCs/>
                <w:sz w:val="28"/>
                <w:szCs w:val="28"/>
                <w:lang w:val="en-US" w:eastAsia="zh-CN"/>
              </w:rPr>
            </w:pPr>
            <w:r>
              <w:rPr>
                <w:rFonts w:hint="eastAsia"/>
                <w:b/>
                <w:bCs/>
                <w:sz w:val="28"/>
                <w:szCs w:val="28"/>
                <w:lang w:val="en-US" w:eastAsia="zh-CN"/>
              </w:rPr>
              <w:t>开展对象</w:t>
            </w:r>
          </w:p>
        </w:tc>
        <w:tc>
          <w:tcPr>
            <w:tcW w:w="2588" w:type="dxa"/>
            <w:vAlign w:val="center"/>
          </w:tcPr>
          <w:p>
            <w:pPr>
              <w:bidi w:val="0"/>
              <w:jc w:val="center"/>
              <w:rPr>
                <w:rFonts w:hint="eastAsia"/>
                <w:b/>
                <w:bCs/>
                <w:sz w:val="28"/>
                <w:szCs w:val="28"/>
                <w:lang w:val="en-US" w:eastAsia="zh-CN"/>
              </w:rPr>
            </w:pPr>
            <w:r>
              <w:rPr>
                <w:rFonts w:hint="eastAsia"/>
                <w:b/>
                <w:bCs/>
                <w:sz w:val="28"/>
                <w:szCs w:val="28"/>
                <w:lang w:val="en-US" w:eastAsia="zh-CN"/>
              </w:rPr>
              <w:t>活动</w:t>
            </w:r>
          </w:p>
        </w:tc>
        <w:tc>
          <w:tcPr>
            <w:tcW w:w="1621" w:type="dxa"/>
            <w:vAlign w:val="center"/>
          </w:tcPr>
          <w:p>
            <w:pPr>
              <w:bidi w:val="0"/>
              <w:jc w:val="center"/>
              <w:rPr>
                <w:rFonts w:hint="eastAsia"/>
                <w:b/>
                <w:bCs/>
                <w:sz w:val="28"/>
                <w:szCs w:val="28"/>
                <w:lang w:val="en-US" w:eastAsia="zh-CN"/>
              </w:rPr>
            </w:pPr>
            <w:r>
              <w:rPr>
                <w:rFonts w:hint="eastAsia"/>
                <w:b/>
                <w:bCs/>
                <w:sz w:val="28"/>
                <w:szCs w:val="28"/>
                <w:lang w:val="en-US" w:eastAsia="zh-CN"/>
              </w:rPr>
              <w:t>开展人数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834" w:type="dxa"/>
            <w:vAlign w:val="center"/>
          </w:tcPr>
          <w:p>
            <w:pPr>
              <w:bidi w:val="0"/>
              <w:jc w:val="center"/>
              <w:rPr>
                <w:rFonts w:hint="default"/>
                <w:sz w:val="24"/>
                <w:szCs w:val="24"/>
                <w:lang w:val="en-US" w:eastAsia="zh-CN"/>
              </w:rPr>
            </w:pPr>
            <w:r>
              <w:rPr>
                <w:rFonts w:hint="eastAsia"/>
                <w:sz w:val="24"/>
                <w:szCs w:val="24"/>
                <w:lang w:val="en-US" w:eastAsia="zh-CN"/>
              </w:rPr>
              <w:t>1</w:t>
            </w:r>
          </w:p>
        </w:tc>
        <w:tc>
          <w:tcPr>
            <w:tcW w:w="2416" w:type="dxa"/>
            <w:vAlign w:val="center"/>
          </w:tcPr>
          <w:p>
            <w:pPr>
              <w:bidi w:val="0"/>
              <w:jc w:val="both"/>
              <w:rPr>
                <w:rFonts w:hint="eastAsia"/>
                <w:sz w:val="24"/>
                <w:szCs w:val="24"/>
                <w:lang w:val="en-US" w:eastAsia="zh-CN"/>
              </w:rPr>
            </w:pPr>
            <w:r>
              <w:rPr>
                <w:rFonts w:hint="eastAsia"/>
                <w:sz w:val="24"/>
                <w:szCs w:val="24"/>
                <w:lang w:val="en-US" w:eastAsia="zh-CN"/>
              </w:rPr>
              <w:t>党史学习教育</w:t>
            </w:r>
          </w:p>
        </w:tc>
        <w:tc>
          <w:tcPr>
            <w:tcW w:w="1418" w:type="dxa"/>
            <w:vAlign w:val="center"/>
          </w:tcPr>
          <w:p>
            <w:pPr>
              <w:bidi w:val="0"/>
              <w:jc w:val="center"/>
              <w:rPr>
                <w:rFonts w:hint="eastAsia"/>
                <w:sz w:val="24"/>
                <w:szCs w:val="24"/>
                <w:lang w:val="en-US" w:eastAsia="zh-CN"/>
              </w:rPr>
            </w:pPr>
            <w:r>
              <w:rPr>
                <w:rFonts w:hint="eastAsia"/>
                <w:sz w:val="24"/>
                <w:szCs w:val="24"/>
                <w:lang w:val="en-US" w:eastAsia="zh-CN"/>
              </w:rPr>
              <w:t>全体师生</w:t>
            </w:r>
          </w:p>
        </w:tc>
        <w:tc>
          <w:tcPr>
            <w:tcW w:w="2588" w:type="dxa"/>
            <w:vAlign w:val="center"/>
          </w:tcPr>
          <w:p>
            <w:pPr>
              <w:bidi w:val="0"/>
              <w:jc w:val="both"/>
              <w:rPr>
                <w:rFonts w:hint="eastAsia"/>
                <w:sz w:val="24"/>
                <w:szCs w:val="24"/>
                <w:lang w:val="en-US" w:eastAsia="zh-CN"/>
              </w:rPr>
            </w:pPr>
            <w:r>
              <w:rPr>
                <w:rFonts w:hint="eastAsia"/>
                <w:sz w:val="24"/>
                <w:szCs w:val="24"/>
                <w:lang w:val="en-US" w:eastAsia="zh-CN"/>
              </w:rPr>
              <w:t>常态化</w:t>
            </w:r>
          </w:p>
        </w:tc>
        <w:tc>
          <w:tcPr>
            <w:tcW w:w="1621" w:type="dxa"/>
            <w:vAlign w:val="center"/>
          </w:tcPr>
          <w:p>
            <w:pPr>
              <w:bidi w:val="0"/>
              <w:jc w:val="center"/>
              <w:rPr>
                <w:rFonts w:hint="default"/>
                <w:sz w:val="24"/>
                <w:szCs w:val="24"/>
                <w:lang w:val="en-US" w:eastAsia="zh-CN"/>
              </w:rPr>
            </w:pPr>
            <w:r>
              <w:rPr>
                <w:rFonts w:hint="eastAsia"/>
                <w:sz w:val="24"/>
                <w:szCs w:val="24"/>
                <w:lang w:val="en-US" w:eastAsia="zh-CN"/>
              </w:rPr>
              <w:t>2900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7" w:hRule="atLeast"/>
        </w:trPr>
        <w:tc>
          <w:tcPr>
            <w:tcW w:w="834" w:type="dxa"/>
            <w:vAlign w:val="center"/>
          </w:tcPr>
          <w:p>
            <w:pPr>
              <w:bidi w:val="0"/>
              <w:jc w:val="center"/>
              <w:rPr>
                <w:rFonts w:hint="default"/>
                <w:sz w:val="24"/>
                <w:szCs w:val="24"/>
                <w:lang w:val="en-US" w:eastAsia="zh-CN"/>
              </w:rPr>
            </w:pPr>
            <w:r>
              <w:rPr>
                <w:rFonts w:hint="eastAsia"/>
                <w:sz w:val="24"/>
                <w:szCs w:val="24"/>
                <w:lang w:val="en-US" w:eastAsia="zh-CN"/>
              </w:rPr>
              <w:t>2</w:t>
            </w:r>
          </w:p>
        </w:tc>
        <w:tc>
          <w:tcPr>
            <w:tcW w:w="2416" w:type="dxa"/>
            <w:vAlign w:val="center"/>
          </w:tcPr>
          <w:p>
            <w:pPr>
              <w:bidi w:val="0"/>
              <w:jc w:val="both"/>
              <w:rPr>
                <w:rFonts w:hint="eastAsia"/>
                <w:sz w:val="24"/>
                <w:szCs w:val="24"/>
                <w:lang w:val="en-US" w:eastAsia="zh-CN"/>
              </w:rPr>
            </w:pPr>
            <w:r>
              <w:rPr>
                <w:rFonts w:hint="eastAsia"/>
                <w:sz w:val="24"/>
                <w:szCs w:val="24"/>
                <w:lang w:val="en-US" w:eastAsia="zh-CN"/>
              </w:rPr>
              <w:t>“高举旗帜、响应号召、奋进新时代、启航新征程”主题教育</w:t>
            </w:r>
          </w:p>
        </w:tc>
        <w:tc>
          <w:tcPr>
            <w:tcW w:w="1418" w:type="dxa"/>
            <w:vAlign w:val="center"/>
          </w:tcPr>
          <w:p>
            <w:pPr>
              <w:bidi w:val="0"/>
              <w:jc w:val="center"/>
              <w:rPr>
                <w:rFonts w:hint="eastAsia"/>
                <w:sz w:val="24"/>
                <w:szCs w:val="24"/>
                <w:lang w:val="en-US" w:eastAsia="zh-CN"/>
              </w:rPr>
            </w:pPr>
            <w:r>
              <w:rPr>
                <w:rFonts w:hint="eastAsia"/>
                <w:sz w:val="24"/>
                <w:szCs w:val="24"/>
                <w:lang w:val="en-US" w:eastAsia="zh-CN"/>
              </w:rPr>
              <w:t>全体师生</w:t>
            </w:r>
          </w:p>
        </w:tc>
        <w:tc>
          <w:tcPr>
            <w:tcW w:w="2588" w:type="dxa"/>
            <w:vAlign w:val="center"/>
          </w:tcPr>
          <w:p>
            <w:pPr>
              <w:bidi w:val="0"/>
              <w:jc w:val="both"/>
              <w:rPr>
                <w:rFonts w:hint="eastAsia"/>
                <w:sz w:val="24"/>
                <w:szCs w:val="24"/>
                <w:lang w:val="en-US" w:eastAsia="zh-CN"/>
              </w:rPr>
            </w:pPr>
            <w:r>
              <w:rPr>
                <w:rFonts w:hint="eastAsia"/>
                <w:sz w:val="24"/>
                <w:szCs w:val="24"/>
                <w:lang w:val="en-US" w:eastAsia="zh-CN"/>
              </w:rPr>
              <w:t>2021年8月26日－-2022年2月</w:t>
            </w:r>
          </w:p>
        </w:tc>
        <w:tc>
          <w:tcPr>
            <w:tcW w:w="1621" w:type="dxa"/>
            <w:vAlign w:val="center"/>
          </w:tcPr>
          <w:p>
            <w:pPr>
              <w:bidi w:val="0"/>
              <w:jc w:val="center"/>
              <w:rPr>
                <w:rFonts w:hint="default"/>
                <w:sz w:val="24"/>
                <w:szCs w:val="24"/>
                <w:lang w:val="en-US" w:eastAsia="zh-CN"/>
              </w:rPr>
            </w:pPr>
            <w:r>
              <w:rPr>
                <w:rFonts w:hint="eastAsia"/>
                <w:sz w:val="24"/>
                <w:szCs w:val="24"/>
                <w:lang w:val="en-US" w:eastAsia="zh-CN"/>
              </w:rPr>
              <w:t>2827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2" w:hRule="atLeast"/>
        </w:trPr>
        <w:tc>
          <w:tcPr>
            <w:tcW w:w="834" w:type="dxa"/>
            <w:vAlign w:val="center"/>
          </w:tcPr>
          <w:p>
            <w:pPr>
              <w:bidi w:val="0"/>
              <w:jc w:val="center"/>
              <w:rPr>
                <w:rFonts w:hint="default"/>
                <w:sz w:val="24"/>
                <w:szCs w:val="24"/>
                <w:lang w:val="en-US" w:eastAsia="zh-CN"/>
              </w:rPr>
            </w:pPr>
            <w:r>
              <w:rPr>
                <w:rFonts w:hint="eastAsia"/>
                <w:sz w:val="24"/>
                <w:szCs w:val="24"/>
                <w:lang w:val="en-US" w:eastAsia="zh-CN"/>
              </w:rPr>
              <w:t>3</w:t>
            </w:r>
          </w:p>
        </w:tc>
        <w:tc>
          <w:tcPr>
            <w:tcW w:w="2416" w:type="dxa"/>
            <w:vAlign w:val="center"/>
          </w:tcPr>
          <w:p>
            <w:pPr>
              <w:bidi w:val="0"/>
              <w:jc w:val="both"/>
              <w:rPr>
                <w:rFonts w:hint="eastAsia"/>
                <w:sz w:val="24"/>
                <w:szCs w:val="24"/>
                <w:lang w:val="en-US" w:eastAsia="zh-CN"/>
              </w:rPr>
            </w:pPr>
            <w:r>
              <w:rPr>
                <w:rFonts w:hint="eastAsia"/>
                <w:sz w:val="24"/>
                <w:szCs w:val="24"/>
                <w:lang w:val="en-US" w:eastAsia="zh-CN"/>
              </w:rPr>
              <w:t>中小学有偿补课和教师违规收受礼品礼金问题专项整治</w:t>
            </w:r>
          </w:p>
        </w:tc>
        <w:tc>
          <w:tcPr>
            <w:tcW w:w="1418" w:type="dxa"/>
            <w:vAlign w:val="center"/>
          </w:tcPr>
          <w:p>
            <w:pPr>
              <w:bidi w:val="0"/>
              <w:jc w:val="center"/>
              <w:rPr>
                <w:rFonts w:hint="eastAsia"/>
                <w:sz w:val="24"/>
                <w:szCs w:val="24"/>
                <w:lang w:val="en-US" w:eastAsia="zh-CN"/>
              </w:rPr>
            </w:pPr>
            <w:r>
              <w:rPr>
                <w:rFonts w:hint="eastAsia"/>
                <w:sz w:val="24"/>
                <w:szCs w:val="24"/>
                <w:lang w:val="en-US" w:eastAsia="zh-CN"/>
              </w:rPr>
              <w:t>全体教师</w:t>
            </w:r>
          </w:p>
        </w:tc>
        <w:tc>
          <w:tcPr>
            <w:tcW w:w="2588" w:type="dxa"/>
            <w:vAlign w:val="center"/>
          </w:tcPr>
          <w:p>
            <w:pPr>
              <w:bidi w:val="0"/>
              <w:jc w:val="both"/>
              <w:rPr>
                <w:rFonts w:hint="eastAsia"/>
                <w:sz w:val="24"/>
                <w:szCs w:val="24"/>
                <w:lang w:val="en-US" w:eastAsia="zh-CN"/>
              </w:rPr>
            </w:pPr>
            <w:r>
              <w:rPr>
                <w:rFonts w:hint="eastAsia"/>
                <w:sz w:val="24"/>
                <w:szCs w:val="24"/>
                <w:lang w:val="en-US" w:eastAsia="zh-CN"/>
              </w:rPr>
              <w:t>2021年9月－-2022年3月</w:t>
            </w:r>
          </w:p>
        </w:tc>
        <w:tc>
          <w:tcPr>
            <w:tcW w:w="1621" w:type="dxa"/>
            <w:vAlign w:val="center"/>
          </w:tcPr>
          <w:p>
            <w:pPr>
              <w:bidi w:val="0"/>
              <w:jc w:val="center"/>
              <w:rPr>
                <w:rFonts w:hint="default"/>
                <w:sz w:val="24"/>
                <w:szCs w:val="24"/>
                <w:lang w:val="en-US" w:eastAsia="zh-CN"/>
              </w:rPr>
            </w:pPr>
            <w:r>
              <w:rPr>
                <w:rFonts w:hint="eastAsia"/>
                <w:sz w:val="24"/>
                <w:szCs w:val="24"/>
                <w:lang w:val="en-US" w:eastAsia="zh-CN"/>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834" w:type="dxa"/>
            <w:vAlign w:val="center"/>
          </w:tcPr>
          <w:p>
            <w:pPr>
              <w:bidi w:val="0"/>
              <w:jc w:val="center"/>
              <w:rPr>
                <w:rFonts w:hint="default"/>
                <w:sz w:val="24"/>
                <w:szCs w:val="24"/>
                <w:lang w:val="en-US" w:eastAsia="zh-CN"/>
              </w:rPr>
            </w:pPr>
            <w:r>
              <w:rPr>
                <w:rFonts w:hint="eastAsia"/>
                <w:sz w:val="24"/>
                <w:szCs w:val="24"/>
                <w:lang w:val="en-US" w:eastAsia="zh-CN"/>
              </w:rPr>
              <w:t>4</w:t>
            </w:r>
          </w:p>
        </w:tc>
        <w:tc>
          <w:tcPr>
            <w:tcW w:w="2416" w:type="dxa"/>
            <w:vAlign w:val="center"/>
          </w:tcPr>
          <w:p>
            <w:pPr>
              <w:bidi w:val="0"/>
              <w:jc w:val="both"/>
              <w:rPr>
                <w:rFonts w:hint="eastAsia"/>
                <w:sz w:val="24"/>
                <w:szCs w:val="24"/>
                <w:lang w:val="en-US" w:eastAsia="zh-CN"/>
              </w:rPr>
            </w:pPr>
            <w:r>
              <w:rPr>
                <w:rFonts w:hint="eastAsia"/>
                <w:sz w:val="24"/>
                <w:szCs w:val="24"/>
                <w:lang w:val="en-US" w:eastAsia="zh-CN"/>
              </w:rPr>
              <w:t>强国有我、请党放心</w:t>
            </w:r>
          </w:p>
        </w:tc>
        <w:tc>
          <w:tcPr>
            <w:tcW w:w="1418" w:type="dxa"/>
            <w:vAlign w:val="center"/>
          </w:tcPr>
          <w:p>
            <w:pPr>
              <w:bidi w:val="0"/>
              <w:jc w:val="center"/>
              <w:rPr>
                <w:rFonts w:hint="eastAsia"/>
                <w:sz w:val="24"/>
                <w:szCs w:val="24"/>
                <w:lang w:val="en-US" w:eastAsia="zh-CN"/>
              </w:rPr>
            </w:pPr>
            <w:r>
              <w:rPr>
                <w:rFonts w:hint="eastAsia"/>
                <w:sz w:val="24"/>
                <w:szCs w:val="24"/>
                <w:lang w:val="en-US" w:eastAsia="zh-CN"/>
              </w:rPr>
              <w:t>全体学生</w:t>
            </w:r>
          </w:p>
          <w:p>
            <w:pPr>
              <w:bidi w:val="0"/>
              <w:jc w:val="center"/>
              <w:rPr>
                <w:rFonts w:hint="eastAsia"/>
                <w:sz w:val="24"/>
                <w:szCs w:val="24"/>
                <w:lang w:val="en-US" w:eastAsia="zh-CN"/>
              </w:rPr>
            </w:pPr>
          </w:p>
        </w:tc>
        <w:tc>
          <w:tcPr>
            <w:tcW w:w="2588" w:type="dxa"/>
            <w:vAlign w:val="center"/>
          </w:tcPr>
          <w:p>
            <w:pPr>
              <w:bidi w:val="0"/>
              <w:jc w:val="both"/>
              <w:rPr>
                <w:rFonts w:hint="eastAsia"/>
                <w:sz w:val="24"/>
                <w:szCs w:val="24"/>
                <w:lang w:val="en-US" w:eastAsia="zh-CN"/>
              </w:rPr>
            </w:pPr>
            <w:r>
              <w:rPr>
                <w:rFonts w:hint="eastAsia"/>
                <w:sz w:val="24"/>
                <w:szCs w:val="24"/>
                <w:lang w:val="en-US" w:eastAsia="zh-CN"/>
              </w:rPr>
              <w:t>2021年11月22日－-2022年1月20日</w:t>
            </w:r>
          </w:p>
        </w:tc>
        <w:tc>
          <w:tcPr>
            <w:tcW w:w="1621" w:type="dxa"/>
            <w:vAlign w:val="center"/>
          </w:tcPr>
          <w:p>
            <w:pPr>
              <w:bidi w:val="0"/>
              <w:jc w:val="center"/>
              <w:rPr>
                <w:rFonts w:hint="default"/>
                <w:sz w:val="24"/>
                <w:szCs w:val="24"/>
                <w:lang w:val="en-US" w:eastAsia="zh-CN"/>
              </w:rPr>
            </w:pPr>
            <w:r>
              <w:rPr>
                <w:rFonts w:hint="eastAsia"/>
                <w:sz w:val="24"/>
                <w:szCs w:val="24"/>
                <w:lang w:val="en-US" w:eastAsia="zh-CN"/>
              </w:rPr>
              <w:t>2577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4" w:hRule="atLeast"/>
        </w:trPr>
        <w:tc>
          <w:tcPr>
            <w:tcW w:w="834" w:type="dxa"/>
            <w:vAlign w:val="center"/>
          </w:tcPr>
          <w:p>
            <w:pPr>
              <w:bidi w:val="0"/>
              <w:jc w:val="center"/>
              <w:rPr>
                <w:rFonts w:hint="eastAsia"/>
                <w:sz w:val="24"/>
                <w:szCs w:val="24"/>
                <w:lang w:val="en-US" w:eastAsia="zh-CN"/>
              </w:rPr>
            </w:pPr>
            <w:r>
              <w:rPr>
                <w:rFonts w:hint="eastAsia"/>
                <w:sz w:val="24"/>
                <w:szCs w:val="24"/>
                <w:lang w:val="en-US" w:eastAsia="zh-CN"/>
              </w:rPr>
              <w:t>5</w:t>
            </w:r>
          </w:p>
        </w:tc>
        <w:tc>
          <w:tcPr>
            <w:tcW w:w="2416" w:type="dxa"/>
            <w:vAlign w:val="center"/>
          </w:tcPr>
          <w:p>
            <w:pPr>
              <w:bidi w:val="0"/>
              <w:jc w:val="both"/>
              <w:rPr>
                <w:rFonts w:hint="eastAsia"/>
                <w:sz w:val="24"/>
                <w:szCs w:val="24"/>
                <w:lang w:val="en-US" w:eastAsia="zh-CN"/>
              </w:rPr>
            </w:pPr>
            <w:r>
              <w:rPr>
                <w:rFonts w:hint="eastAsia"/>
                <w:sz w:val="24"/>
                <w:szCs w:val="24"/>
                <w:lang w:val="en-US" w:eastAsia="zh-CN"/>
              </w:rPr>
              <w:t>“大学习、大调研、大讨论、大培训、大转变、大提升”教育实践活动</w:t>
            </w:r>
          </w:p>
        </w:tc>
        <w:tc>
          <w:tcPr>
            <w:tcW w:w="1418" w:type="dxa"/>
            <w:vAlign w:val="center"/>
          </w:tcPr>
          <w:p>
            <w:pPr>
              <w:bidi w:val="0"/>
              <w:jc w:val="center"/>
              <w:rPr>
                <w:rFonts w:hint="eastAsia"/>
                <w:sz w:val="24"/>
                <w:szCs w:val="24"/>
                <w:lang w:val="en-US" w:eastAsia="zh-CN"/>
              </w:rPr>
            </w:pPr>
            <w:r>
              <w:rPr>
                <w:rFonts w:hint="eastAsia"/>
                <w:sz w:val="24"/>
                <w:szCs w:val="24"/>
                <w:lang w:val="en-US" w:eastAsia="zh-CN"/>
              </w:rPr>
              <w:t>全体师生</w:t>
            </w:r>
          </w:p>
        </w:tc>
        <w:tc>
          <w:tcPr>
            <w:tcW w:w="2588" w:type="dxa"/>
            <w:vAlign w:val="center"/>
          </w:tcPr>
          <w:p>
            <w:pPr>
              <w:bidi w:val="0"/>
              <w:jc w:val="both"/>
              <w:rPr>
                <w:rFonts w:hint="eastAsia"/>
                <w:sz w:val="24"/>
                <w:szCs w:val="24"/>
                <w:lang w:val="en-US" w:eastAsia="zh-CN"/>
              </w:rPr>
            </w:pPr>
            <w:r>
              <w:rPr>
                <w:rFonts w:hint="eastAsia"/>
                <w:sz w:val="24"/>
                <w:szCs w:val="24"/>
                <w:lang w:val="en-US" w:eastAsia="zh-CN"/>
              </w:rPr>
              <w:t>2022年3月1日—2022年5月30日</w:t>
            </w:r>
          </w:p>
          <w:p>
            <w:pPr>
              <w:bidi w:val="0"/>
              <w:jc w:val="both"/>
              <w:rPr>
                <w:rFonts w:hint="eastAsia"/>
                <w:sz w:val="24"/>
                <w:szCs w:val="24"/>
                <w:lang w:val="en-US" w:eastAsia="zh-CN"/>
              </w:rPr>
            </w:pPr>
          </w:p>
        </w:tc>
        <w:tc>
          <w:tcPr>
            <w:tcW w:w="1621" w:type="dxa"/>
            <w:vAlign w:val="center"/>
          </w:tcPr>
          <w:p>
            <w:pPr>
              <w:bidi w:val="0"/>
              <w:jc w:val="center"/>
              <w:rPr>
                <w:rFonts w:hint="default"/>
                <w:sz w:val="24"/>
                <w:szCs w:val="24"/>
                <w:lang w:val="en-US" w:eastAsia="zh-CN"/>
              </w:rPr>
            </w:pPr>
            <w:r>
              <w:rPr>
                <w:rFonts w:hint="eastAsia"/>
                <w:sz w:val="24"/>
                <w:szCs w:val="24"/>
                <w:lang w:val="en-US" w:eastAsia="zh-CN"/>
              </w:rPr>
              <w:t>2800</w:t>
            </w:r>
          </w:p>
        </w:tc>
      </w:tr>
    </w:tbl>
    <w:p>
      <w:pPr>
        <w:pStyle w:val="2"/>
        <w:ind w:left="0" w:leftChars="0" w:firstLine="0" w:firstLineChars="0"/>
        <w:rPr>
          <w:rFonts w:hint="eastAsia"/>
          <w:lang w:val="en-US" w:eastAsia="zh-CN"/>
        </w:rPr>
      </w:pPr>
    </w:p>
    <w:p>
      <w:pPr>
        <w:pStyle w:val="3"/>
        <w:ind w:left="0" w:leftChars="0" w:firstLine="0" w:firstLineChars="0"/>
        <w:rPr>
          <w:rFonts w:hint="default"/>
          <w:lang w:val="en-US" w:eastAsia="zh-CN"/>
        </w:rPr>
      </w:pPr>
      <w:r>
        <w:rPr>
          <w:rFonts w:hint="default"/>
          <w:lang w:val="en-US" w:eastAsia="zh-CN"/>
        </w:rPr>
        <w:drawing>
          <wp:inline distT="0" distB="0" distL="114300" distR="114300">
            <wp:extent cx="5579110" cy="3699510"/>
            <wp:effectExtent l="0" t="0" r="2540" b="15240"/>
            <wp:docPr id="44" name="图片 1" descr="53073735404bfd9f1c9f105ad22f6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descr="53073735404bfd9f1c9f105ad22f60d"/>
                    <pic:cNvPicPr>
                      <a:picLocks noChangeAspect="1"/>
                    </pic:cNvPicPr>
                  </pic:nvPicPr>
                  <pic:blipFill>
                    <a:blip r:embed="rId12"/>
                    <a:srcRect t="6274"/>
                    <a:stretch>
                      <a:fillRect/>
                    </a:stretch>
                  </pic:blipFill>
                  <pic:spPr>
                    <a:xfrm>
                      <a:off x="0" y="0"/>
                      <a:ext cx="5579110" cy="3699510"/>
                    </a:xfrm>
                    <a:prstGeom prst="rect">
                      <a:avLst/>
                    </a:prstGeom>
                    <a:noFill/>
                    <a:ln>
                      <a:noFill/>
                    </a:ln>
                  </pic:spPr>
                </pic:pic>
              </a:graphicData>
            </a:graphic>
          </wp:inline>
        </w:drawing>
      </w:r>
    </w:p>
    <w:p>
      <w:pPr>
        <w:pStyle w:val="3"/>
        <w:ind w:left="0" w:leftChars="0" w:firstLine="0" w:firstLineChars="0"/>
        <w:jc w:val="center"/>
        <w:rPr>
          <w:rFonts w:hint="eastAsia" w:ascii="仿宋_GB2312" w:hAnsi="仿宋_GB2312" w:eastAsia="仿宋_GB2312" w:cs="仿宋_GB2312"/>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  党史学习</w:t>
      </w:r>
    </w:p>
    <w:p>
      <w:pPr>
        <w:jc w:val="center"/>
        <w:rPr>
          <w:rFonts w:hint="eastAsia" w:ascii="仿宋_GB2312" w:hAnsi="仿宋_GB2312" w:eastAsia="仿宋_GB2312" w:cs="仿宋_GB2312"/>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图8 “高举旗帜、响应号召、奋进新时代、启航新征程”主题教育活动</w:t>
      </w:r>
      <w:r>
        <w:rPr>
          <w:rFonts w:hint="default" w:ascii="仿宋" w:hAnsi="仿宋" w:eastAsia="仿宋" w:cs="仿宋"/>
          <w:b w:val="0"/>
          <w:bCs w:val="0"/>
          <w:i w:val="0"/>
          <w:iCs w:val="0"/>
          <w:caps w:val="0"/>
          <w:color w:val="323232"/>
          <w:spacing w:val="24"/>
          <w:sz w:val="32"/>
          <w:szCs w:val="32"/>
          <w:shd w:val="clear" w:fill="FFFFFF"/>
          <w:lang w:val="en-US" w:eastAsia="zh-CN"/>
        </w:rPr>
        <w:drawing>
          <wp:anchor distT="0" distB="0" distL="114300" distR="114300" simplePos="0" relativeHeight="251662336" behindDoc="0" locked="0" layoutInCell="1" allowOverlap="1">
            <wp:simplePos x="0" y="0"/>
            <wp:positionH relativeFrom="column">
              <wp:posOffset>81915</wp:posOffset>
            </wp:positionH>
            <wp:positionV relativeFrom="paragraph">
              <wp:posOffset>95885</wp:posOffset>
            </wp:positionV>
            <wp:extent cx="5471795" cy="3521075"/>
            <wp:effectExtent l="0" t="0" r="14605" b="3175"/>
            <wp:wrapTopAndBottom/>
            <wp:docPr id="43" name="图片 1" descr="0cf04323c6d885636a1c0e41291b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descr="0cf04323c6d885636a1c0e41291b782"/>
                    <pic:cNvPicPr>
                      <a:picLocks noChangeAspect="1"/>
                    </pic:cNvPicPr>
                  </pic:nvPicPr>
                  <pic:blipFill>
                    <a:blip r:embed="rId13"/>
                    <a:stretch>
                      <a:fillRect/>
                    </a:stretch>
                  </pic:blipFill>
                  <pic:spPr>
                    <a:xfrm>
                      <a:off x="0" y="0"/>
                      <a:ext cx="5471795" cy="352107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lang w:val="en-US" w:eastAsia="zh-CN"/>
        </w:rPr>
      </w:pPr>
      <w:r>
        <w:rPr>
          <w:rFonts w:hint="eastAsia" w:ascii="仿宋_GB2312" w:hAnsi="仿宋_GB2312" w:eastAsia="仿宋_GB2312" w:cs="仿宋_GB2312"/>
          <w:kern w:val="2"/>
          <w:sz w:val="32"/>
          <w:szCs w:val="32"/>
          <w:lang w:val="en-US" w:eastAsia="zh-CN" w:bidi="ar-SA"/>
        </w:rPr>
        <w:t>三是组织开展了党史学习教育、“高举旗帜、响应号召、奋进新时代、启航新征程”主题教育、中小学有偿补课和教师违规收受礼品礼金问题专项整治、“强国有我、请党放心”、“大学习、大调研、大讨论、大培训、大转变、大提升”教育实践活动等10余个活动，切实提高党员干部和全体教师的政治思想水平和工作作风，不断擦亮学校“135党建+X”党建品牌。</w:t>
      </w:r>
    </w:p>
    <w:p>
      <w:pPr>
        <w:jc w:val="center"/>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表4 韩城职专教职工入党情况</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3"/>
        <w:gridCol w:w="1185"/>
        <w:gridCol w:w="1470"/>
        <w:gridCol w:w="1800"/>
        <w:gridCol w:w="1005"/>
        <w:gridCol w:w="2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序号</w:t>
            </w:r>
          </w:p>
        </w:tc>
        <w:tc>
          <w:tcPr>
            <w:tcW w:w="1185"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姓名</w:t>
            </w:r>
          </w:p>
        </w:tc>
        <w:tc>
          <w:tcPr>
            <w:tcW w:w="1470"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系部</w:t>
            </w:r>
          </w:p>
        </w:tc>
        <w:tc>
          <w:tcPr>
            <w:tcW w:w="1800"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递交入党时间</w:t>
            </w:r>
          </w:p>
        </w:tc>
        <w:tc>
          <w:tcPr>
            <w:tcW w:w="1005"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介绍人</w:t>
            </w:r>
          </w:p>
        </w:tc>
        <w:tc>
          <w:tcPr>
            <w:tcW w:w="2707" w:type="dxa"/>
            <w:vAlign w:val="center"/>
          </w:tcPr>
          <w:p>
            <w:pPr>
              <w:pStyle w:val="2"/>
              <w:ind w:left="0" w:leftChars="0" w:firstLine="0" w:firstLineChars="0"/>
              <w:jc w:val="center"/>
              <w:rPr>
                <w:rFonts w:hint="eastAsia"/>
                <w:b/>
                <w:bCs/>
                <w:sz w:val="24"/>
                <w:szCs w:val="28"/>
                <w:vertAlign w:val="baseline"/>
                <w:lang w:val="en-US" w:eastAsia="zh-CN"/>
              </w:rPr>
            </w:pPr>
            <w:r>
              <w:rPr>
                <w:rFonts w:hint="eastAsia"/>
                <w:b/>
                <w:bCs/>
                <w:sz w:val="24"/>
                <w:szCs w:val="28"/>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pPr>
              <w:bidi w:val="0"/>
              <w:jc w:val="center"/>
              <w:rPr>
                <w:rFonts w:hint="default"/>
                <w:lang w:val="en-US" w:eastAsia="zh-CN"/>
              </w:rPr>
            </w:pPr>
            <w:r>
              <w:rPr>
                <w:rFonts w:hint="eastAsia"/>
                <w:lang w:val="en-US" w:eastAsia="zh-CN"/>
              </w:rPr>
              <w:t>1</w:t>
            </w:r>
          </w:p>
        </w:tc>
        <w:tc>
          <w:tcPr>
            <w:tcW w:w="1185" w:type="dxa"/>
            <w:vAlign w:val="center"/>
          </w:tcPr>
          <w:p>
            <w:pPr>
              <w:bidi w:val="0"/>
              <w:jc w:val="center"/>
              <w:rPr>
                <w:rFonts w:hint="eastAsia"/>
                <w:lang w:val="en-US" w:eastAsia="zh-CN"/>
              </w:rPr>
            </w:pPr>
            <w:r>
              <w:rPr>
                <w:rFonts w:hint="eastAsia"/>
                <w:lang w:val="en-US" w:eastAsia="zh-CN"/>
              </w:rPr>
              <w:t>孙兴浩</w:t>
            </w:r>
          </w:p>
        </w:tc>
        <w:tc>
          <w:tcPr>
            <w:tcW w:w="1470" w:type="dxa"/>
            <w:vAlign w:val="center"/>
          </w:tcPr>
          <w:p>
            <w:pPr>
              <w:bidi w:val="0"/>
              <w:jc w:val="center"/>
              <w:rPr>
                <w:rFonts w:hint="eastAsia"/>
                <w:lang w:val="en-US" w:eastAsia="zh-CN"/>
              </w:rPr>
            </w:pPr>
            <w:r>
              <w:rPr>
                <w:rFonts w:hint="eastAsia"/>
                <w:lang w:val="en-US" w:eastAsia="zh-CN"/>
              </w:rPr>
              <w:t>师范艺术系</w:t>
            </w:r>
          </w:p>
        </w:tc>
        <w:tc>
          <w:tcPr>
            <w:tcW w:w="1800" w:type="dxa"/>
            <w:vAlign w:val="center"/>
          </w:tcPr>
          <w:p>
            <w:pPr>
              <w:bidi w:val="0"/>
              <w:jc w:val="center"/>
              <w:rPr>
                <w:rFonts w:hint="eastAsia"/>
                <w:lang w:val="en-US" w:eastAsia="zh-CN"/>
              </w:rPr>
            </w:pPr>
            <w:r>
              <w:rPr>
                <w:rFonts w:hint="eastAsia"/>
                <w:lang w:val="en-US" w:eastAsia="zh-CN"/>
              </w:rPr>
              <w:t>2020.09.20</w:t>
            </w:r>
          </w:p>
        </w:tc>
        <w:tc>
          <w:tcPr>
            <w:tcW w:w="1005" w:type="dxa"/>
            <w:vAlign w:val="center"/>
          </w:tcPr>
          <w:p>
            <w:pPr>
              <w:bidi w:val="0"/>
              <w:jc w:val="center"/>
              <w:rPr>
                <w:rFonts w:hint="eastAsia"/>
                <w:lang w:val="en-US" w:eastAsia="zh-CN"/>
              </w:rPr>
            </w:pPr>
            <w:r>
              <w:rPr>
                <w:rFonts w:hint="eastAsia"/>
                <w:lang w:val="en-US" w:eastAsia="zh-CN"/>
              </w:rPr>
              <w:t>柳锐侠</w:t>
            </w:r>
          </w:p>
        </w:tc>
        <w:tc>
          <w:tcPr>
            <w:tcW w:w="2707" w:type="dxa"/>
            <w:vAlign w:val="center"/>
          </w:tcPr>
          <w:p>
            <w:pPr>
              <w:bidi w:val="0"/>
              <w:jc w:val="center"/>
              <w:rPr>
                <w:rFonts w:hint="default"/>
                <w:lang w:val="en-US" w:eastAsia="zh-CN"/>
              </w:rPr>
            </w:pPr>
            <w:r>
              <w:rPr>
                <w:rFonts w:hint="eastAsia"/>
                <w:lang w:val="en-US" w:eastAsia="zh-CN"/>
              </w:rPr>
              <w:t>2022年6月17日已成为入党积极分子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pPr>
              <w:bidi w:val="0"/>
              <w:jc w:val="center"/>
              <w:rPr>
                <w:rFonts w:hint="default"/>
                <w:lang w:val="en-US" w:eastAsia="zh-CN"/>
              </w:rPr>
            </w:pPr>
            <w:r>
              <w:rPr>
                <w:rFonts w:hint="eastAsia"/>
                <w:lang w:val="en-US" w:eastAsia="zh-CN"/>
              </w:rPr>
              <w:t>2</w:t>
            </w:r>
          </w:p>
        </w:tc>
        <w:tc>
          <w:tcPr>
            <w:tcW w:w="1185" w:type="dxa"/>
            <w:vAlign w:val="center"/>
          </w:tcPr>
          <w:p>
            <w:pPr>
              <w:bidi w:val="0"/>
              <w:jc w:val="center"/>
              <w:rPr>
                <w:rFonts w:hint="eastAsia"/>
                <w:lang w:val="en-US" w:eastAsia="zh-CN"/>
              </w:rPr>
            </w:pPr>
          </w:p>
        </w:tc>
        <w:tc>
          <w:tcPr>
            <w:tcW w:w="1470" w:type="dxa"/>
            <w:vAlign w:val="center"/>
          </w:tcPr>
          <w:p>
            <w:pPr>
              <w:bidi w:val="0"/>
              <w:jc w:val="center"/>
              <w:rPr>
                <w:rFonts w:hint="eastAsia"/>
                <w:lang w:val="en-US" w:eastAsia="zh-CN"/>
              </w:rPr>
            </w:pPr>
          </w:p>
        </w:tc>
        <w:tc>
          <w:tcPr>
            <w:tcW w:w="1800" w:type="dxa"/>
            <w:vAlign w:val="center"/>
          </w:tcPr>
          <w:p>
            <w:pPr>
              <w:bidi w:val="0"/>
              <w:jc w:val="center"/>
              <w:rPr>
                <w:rFonts w:hint="eastAsia"/>
                <w:lang w:val="en-US" w:eastAsia="zh-CN"/>
              </w:rPr>
            </w:pPr>
          </w:p>
        </w:tc>
        <w:tc>
          <w:tcPr>
            <w:tcW w:w="1005" w:type="dxa"/>
            <w:vAlign w:val="center"/>
          </w:tcPr>
          <w:p>
            <w:pPr>
              <w:bidi w:val="0"/>
              <w:jc w:val="center"/>
              <w:rPr>
                <w:rFonts w:hint="eastAsia"/>
                <w:lang w:val="en-US" w:eastAsia="zh-CN"/>
              </w:rPr>
            </w:pPr>
          </w:p>
        </w:tc>
        <w:tc>
          <w:tcPr>
            <w:tcW w:w="2707" w:type="dxa"/>
            <w:vAlign w:val="center"/>
          </w:tcPr>
          <w:p>
            <w:pPr>
              <w:bidi w:val="0"/>
              <w:jc w:val="center"/>
              <w:rPr>
                <w:rFonts w:hint="eastAsia"/>
                <w:lang w:val="en-US" w:eastAsia="zh-CN"/>
              </w:rPr>
            </w:pPr>
          </w:p>
        </w:tc>
      </w:tr>
    </w:tbl>
    <w:p>
      <w:pPr>
        <w:rPr>
          <w:rFonts w:hint="eastAsia" w:ascii="仿宋_GB2312" w:hAnsi="仿宋_GB2312" w:eastAsia="仿宋_GB2312" w:cs="仿宋_GB2312"/>
          <w:b w:val="0"/>
          <w:bCs w:val="0"/>
          <w:color w:val="000000"/>
          <w:kern w:val="0"/>
          <w:sz w:val="32"/>
          <w:szCs w:val="32"/>
          <w:highlight w:val="none"/>
          <w:lang w:val="en-US" w:eastAsia="zh-CN" w:bidi="ar"/>
        </w:rPr>
      </w:pPr>
    </w:p>
    <w:p>
      <w:pPr>
        <w:jc w:val="center"/>
        <w:rPr>
          <w:rFonts w:hint="eastAsia" w:ascii="仿宋_GB2312" w:hAnsi="仿宋_GB2312" w:eastAsia="仿宋_GB2312" w:cs="仿宋_GB2312"/>
          <w:b w:val="0"/>
          <w:bCs w:val="0"/>
          <w:color w:val="000000"/>
          <w:kern w:val="0"/>
          <w:sz w:val="32"/>
          <w:szCs w:val="32"/>
          <w:highlight w:val="none"/>
          <w:lang w:val="en-US" w:eastAsia="zh-CN" w:bidi="ar"/>
        </w:rPr>
      </w:pPr>
      <w:r>
        <w:rPr>
          <w:rFonts w:hint="eastAsia" w:ascii="楷体_GB2312" w:hAnsi="楷体_GB2312" w:eastAsia="楷体_GB2312" w:cs="楷体_GB2312"/>
          <w:b w:val="0"/>
          <w:bCs w:val="0"/>
          <w:kern w:val="2"/>
          <w:sz w:val="32"/>
          <w:szCs w:val="32"/>
          <w:lang w:val="en-US" w:eastAsia="zh-CN" w:bidi="ar-SA"/>
        </w:rPr>
        <w:t>图9 入党教师作思想汇报</w:t>
      </w:r>
      <w:r>
        <w:rPr>
          <w:rFonts w:hint="eastAsia"/>
          <w:lang w:val="en-US" w:eastAsia="zh-CN"/>
        </w:rPr>
        <w:drawing>
          <wp:anchor distT="0" distB="0" distL="114300" distR="114300" simplePos="0" relativeHeight="251663360" behindDoc="0" locked="0" layoutInCell="1" allowOverlap="1">
            <wp:simplePos x="0" y="0"/>
            <wp:positionH relativeFrom="column">
              <wp:posOffset>68580</wp:posOffset>
            </wp:positionH>
            <wp:positionV relativeFrom="paragraph">
              <wp:posOffset>83820</wp:posOffset>
            </wp:positionV>
            <wp:extent cx="5280660" cy="3962400"/>
            <wp:effectExtent l="0" t="0" r="15240" b="0"/>
            <wp:wrapTopAndBottom/>
            <wp:docPr id="49" name="图片 49" descr="6d60569957764a929ee788a7a75bf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6d60569957764a929ee788a7a75bff3f"/>
                    <pic:cNvPicPr>
                      <a:picLocks noChangeAspect="1"/>
                    </pic:cNvPicPr>
                  </pic:nvPicPr>
                  <pic:blipFill>
                    <a:blip r:embed="rId14"/>
                    <a:stretch>
                      <a:fillRect/>
                    </a:stretch>
                  </pic:blipFill>
                  <pic:spPr>
                    <a:xfrm>
                      <a:off x="0" y="0"/>
                      <a:ext cx="5280660" cy="396240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四是深化党员教师“双培养”机制，扎实做好党员纳新工作，将非党员优秀教师发展为合格党员，将党员教师培养成省、市职教名师，发展党员积极分子1名，预备党员1名，进一步壮大了学校党员教师队伍，增强基层党组织生机活力和战斗力。</w:t>
      </w:r>
    </w:p>
    <w:p>
      <w:pPr>
        <w:pStyle w:val="2"/>
        <w:rPr>
          <w:rFonts w:hint="default"/>
          <w:lang w:val="en-US" w:eastAsia="zh-CN"/>
        </w:rPr>
      </w:pPr>
    </w:p>
    <w:p>
      <w:pPr>
        <w:pStyle w:val="2"/>
        <w:ind w:left="0" w:leftChars="0" w:firstLine="0" w:firstLineChars="0"/>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b/>
          <w:bCs/>
          <w:sz w:val="32"/>
          <w:szCs w:val="32"/>
          <w:lang w:val="en-US" w:eastAsia="zh-CN"/>
        </w:rPr>
        <w:t>[案例1]</w:t>
      </w:r>
      <w:r>
        <w:rPr>
          <w:rFonts w:hint="eastAsia" w:ascii="仿宋_GB2312" w:hAnsi="仿宋_GB2312" w:eastAsia="仿宋_GB2312" w:cs="仿宋_GB2312"/>
          <w:b/>
          <w:bCs w:val="0"/>
          <w:color w:val="000000" w:themeColor="text1"/>
          <w:kern w:val="2"/>
          <w:sz w:val="32"/>
          <w:szCs w:val="32"/>
          <w:lang w:val="en-US" w:eastAsia="zh-CN" w:bidi="ar-SA"/>
          <w14:textFill>
            <w14:solidFill>
              <w14:schemeClr w14:val="tx1"/>
            </w14:solidFill>
          </w14:textFill>
        </w:rPr>
        <w:t>坚持党建引领  筑牢发展基石</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韩城职专党总支，现有党员75人，实行“党员带动，名师引领，骨干先行”，坚持“围绕中心抓党建，抓好党建促发展”的工作思路，改进教育教学管理方式和手段，提高教育教学质量，加强党员干部示范引领作用，努力开创教育教学党建工作新局。</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把支部建在“连”上。学习吸收我党把“支部建在连上”这一建党建军基本原则和制度优势，结合系部工作特点，把党支部设置在系部上，由兼任系部主任的中层职能部门负责人担任支部书记。以系部为主阵地，开展师生思想政治教育、师德师风建设和党务日常工作，更好发挥党支部的主体作用和学习宣传教育、思想政治引领、落实党内基本制度、激发党员创新活力方面的重要作用。学校党组织政治核心作用进一步彰显。</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深入推进党建与教育教学各项工作深度融合。一是组织各系部突出党史学习教育主题，利用“红色歌曲大家唱”“红色电影大家看”“红色经典大家诵讲”等特色活动激发师生学习热情；开展“知史爱党、知史爱国”党史知识竞赛活动、“学党史 强信念”知识竞赛、庆七一“我心中的党史”演讲比赛、清明祭扫英烈、十四运志愿者服务培训、社团活动等，极大地丰富了党员组织生活，增强了党员凝聚力。开展思政观摩示范课，学校组织各教师结合自身学科现状，将“四史”教育学习融入各自教学中。二是开展“技能：让生活更美好”职教活动周，优秀党员教师带头开展职教进初中政策宣讲活动，让社会进一步了解职教文化，充分彰显了党员干部的责任担当。组织了“红心向党 技能强国”主题教育活动，通过专业展示，学生们对自己运用掌握所学专业技能迎接未来充满了信心。三是组织开展以“美丽校园我来拍”为主题的摄影比赛活动，为师生搭建党史学习教育新平台，用摄影特有的艺术形式和视角，用心发现党史学习教育以来校园的新变化，让党史学习教育浸润校园。四是以“高举旗帜、响应号召、奋进新时代、启航新征程”主题活动、“在职党员双报到”为贯穿，在教育教学、疫情防控、“双减”落实等工作阵地建立党员示范岗，成立“突击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党组织政治核心作用进一步彰显。党的思想、组织、作风制度建设进一步加强，党组织在学校工作中的政治核心和引领作用得到进一步发挥，把握学校正确发展方向，推动各项工作向优向好。全校教师思想政治素质进一步提升，思想认识进一步统一，学校“校风、教风、学风”进一步向好，齐心干事的合力进一步增强，学校“双达标”、高水平示范校省级复核、验收高分通过。</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p>
    <w:p>
      <w:pPr>
        <w:rPr>
          <w:rFonts w:hint="eastAsia"/>
          <w:lang w:val="en-US" w:eastAsia="zh-CN"/>
        </w:rPr>
      </w:pPr>
      <w:r>
        <w:rPr>
          <w:rFonts w:hint="eastAsia"/>
          <w:lang w:val="en-US" w:eastAsia="zh-CN"/>
        </w:rPr>
        <w:drawing>
          <wp:inline distT="0" distB="0" distL="114300" distR="114300">
            <wp:extent cx="5605780" cy="3258820"/>
            <wp:effectExtent l="0" t="0" r="13970" b="17780"/>
            <wp:docPr id="39" name="图片 3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2"/>
                    <pic:cNvPicPr>
                      <a:picLocks noChangeAspect="1"/>
                    </pic:cNvPicPr>
                  </pic:nvPicPr>
                  <pic:blipFill>
                    <a:blip r:embed="rId15"/>
                    <a:srcRect t="43691"/>
                    <a:stretch>
                      <a:fillRect/>
                    </a:stretch>
                  </pic:blipFill>
                  <pic:spPr>
                    <a:xfrm>
                      <a:off x="0" y="0"/>
                      <a:ext cx="5605780" cy="3258820"/>
                    </a:xfrm>
                    <a:prstGeom prst="rect">
                      <a:avLst/>
                    </a:prstGeom>
                  </pic:spPr>
                </pic:pic>
              </a:graphicData>
            </a:graphic>
          </wp:inline>
        </w:drawing>
      </w:r>
    </w:p>
    <w:p>
      <w:pPr>
        <w:pStyle w:val="2"/>
        <w:ind w:left="0" w:leftChars="0" w:firstLine="0" w:firstLineChars="0"/>
        <w:jc w:val="center"/>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图10 “红心向党 技能强国”宣誓活动</w:t>
      </w:r>
    </w:p>
    <w:p>
      <w:pPr>
        <w:pStyle w:val="2"/>
        <w:ind w:left="0" w:leftChars="0" w:firstLine="0" w:firstLineChars="0"/>
        <w:jc w:val="center"/>
        <w:rPr>
          <w:rFonts w:hint="eastAsia" w:ascii="Times New Roman" w:hAnsi="Times New Roman" w:eastAsia="仿宋_GB2312" w:cs="Times New Roman"/>
          <w:b/>
          <w:bCs/>
          <w:i w:val="0"/>
          <w:iCs w:val="0"/>
          <w:color w:val="auto"/>
          <w:sz w:val="32"/>
          <w:szCs w:val="32"/>
        </w:rPr>
      </w:pPr>
      <w:r>
        <w:rPr>
          <w:rFonts w:hint="eastAsia" w:ascii="楷体_GB2312" w:hAnsi="楷体_GB2312" w:eastAsia="楷体_GB2312" w:cs="楷体_GB2312"/>
          <w:b w:val="0"/>
          <w:bCs w:val="0"/>
          <w:kern w:val="2"/>
          <w:sz w:val="32"/>
          <w:szCs w:val="32"/>
          <w:lang w:val="en-US" w:eastAsia="zh-CN" w:bidi="ar-SA"/>
        </w:rPr>
        <w:drawing>
          <wp:anchor distT="0" distB="0" distL="114300" distR="114300" simplePos="0" relativeHeight="251660288" behindDoc="1" locked="0" layoutInCell="1" allowOverlap="1">
            <wp:simplePos x="0" y="0"/>
            <wp:positionH relativeFrom="column">
              <wp:posOffset>37465</wp:posOffset>
            </wp:positionH>
            <wp:positionV relativeFrom="paragraph">
              <wp:posOffset>16510</wp:posOffset>
            </wp:positionV>
            <wp:extent cx="5552440" cy="3698240"/>
            <wp:effectExtent l="0" t="0" r="10160" b="16510"/>
            <wp:wrapTight wrapText="bothSides">
              <wp:wrapPolygon>
                <wp:start x="0" y="0"/>
                <wp:lineTo x="0" y="21474"/>
                <wp:lineTo x="21491" y="21474"/>
                <wp:lineTo x="21491" y="0"/>
                <wp:lineTo x="0" y="0"/>
              </wp:wrapPolygon>
            </wp:wrapTight>
            <wp:docPr id="48" name="图片 4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片1"/>
                    <pic:cNvPicPr>
                      <a:picLocks noChangeAspect="1"/>
                    </pic:cNvPicPr>
                  </pic:nvPicPr>
                  <pic:blipFill>
                    <a:blip r:embed="rId16"/>
                    <a:stretch>
                      <a:fillRect/>
                    </a:stretch>
                  </pic:blipFill>
                  <pic:spPr>
                    <a:xfrm>
                      <a:off x="0" y="0"/>
                      <a:ext cx="5552440" cy="3698240"/>
                    </a:xfrm>
                    <a:prstGeom prst="rect">
                      <a:avLst/>
                    </a:prstGeom>
                  </pic:spPr>
                </pic:pic>
              </a:graphicData>
            </a:graphic>
          </wp:anchor>
        </w:drawing>
      </w:r>
      <w:r>
        <w:rPr>
          <w:rFonts w:hint="eastAsia" w:ascii="楷体_GB2312" w:hAnsi="楷体_GB2312" w:eastAsia="楷体_GB2312" w:cs="楷体_GB2312"/>
          <w:b w:val="0"/>
          <w:bCs w:val="0"/>
          <w:kern w:val="2"/>
          <w:sz w:val="32"/>
          <w:szCs w:val="32"/>
          <w:lang w:val="en-US" w:eastAsia="zh-CN" w:bidi="ar-SA"/>
        </w:rPr>
        <w:t>图11 职教活动周学前教育专业舞蹈展示</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1.2立德树人（政教处）</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坚持以习近平新时代中国特色社会主义思想为指导，落实“立德树人”根本任务，大力培育和践行社会主义核心价值观，“五育”并举，以德育队伍管理、学生自主管理、准军事化管理三结合为抓手，切实提高德育工作的针对性、实效性和主体性，努力形成全员育人、全程育人、全方位育人的德育工作机制，全面提高德育工作水平，为中国特色社会主义事业培养合格建设者和接班人。</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通过全校师生的不懈努力，本年度共评选校级三好学生106人，技能标兵51人，优秀班干部62名，奋进生35人，优秀学生会干部2人，模范班主任14人，李琅同学被评为韩城市2022年度五育好学生，杨朝凤同学和王泽轩同学被评为韩城市2022年度优秀学生干部，文凤、薛萌、高梦楠3名同学获得国家奖学金。在渭南市班主任能力大赛中，程维同志荣获一等奖、姚庆妮同志和彭军红同志荣获二等奖，王超同志荣获三等奖。在省级班主任能力大赛中，程维同志荣获二等奖。学校被评为技能人才强市工作先进单位。</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（一）制度健全有保障，教育管理有抓手</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建立健全各类规章制度，做到全覆盖。依法管理，依规教育，严管厚爱。用制度来管人，规范管理。培养了学生懂规矩、守规矩意识和法治意识。</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（二）班主任队伍建设</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始终把培养一支素质高、业务能力强、工作水平高的班主任队伍当作德育工作的重中之重。一是精心选拔班主任，提高班级管理工作。二是建立班主任激励机制，对优秀模范班主任进行表彰奖励，激发班主任工作热情。三是加强班主任培训，提高班主任工作能力，开展班务管理校本培训和送班主任外出培训两种形式，每月召开班主任工作经验交流会，不断回顾、反思、在总结中创新。四是关注班主任自身发展，修炼自身内涵，鼓励班主任积极参加班主任能力大赛，引导和鼓励班主任对学生管理、教育方法、心理健康教育、安全教育等方面的课题研究和申报，注重自身学习，通过多途径提升自己，强化班主任的责任意识和管理意识，切实做好学生全面发展的引路人。</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（三）疫情防控常态化，筑牢安全生命线</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新冠冠状病毒肺炎防控方案（第九版）》和《中小学校和托幼机构新冠肺炎疫情防控技术方案（第六版）》，完善优化了学校疫情防控方案和预案。严格门禁制度，坚持“一测一扫三查验”，严格执行离返韩“双报备”制度，严格落实师生的晨午晚检制度和病假追踪登记制度，每天的校园环境卫生清扫和消毒消杀工作，师生及共同生活人的行程轨迹摸排工作做到心中有数。</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（四）常规管理，养成教育</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28"/>
          <w:szCs w:val="28"/>
          <w:lang w:val="en-US" w:eastAsia="zh-CN"/>
        </w:rPr>
      </w:pPr>
      <w:r>
        <w:rPr>
          <w:rFonts w:hint="eastAsia" w:ascii="仿宋_GB2312" w:hAnsi="仿宋_GB2312" w:eastAsia="仿宋_GB2312" w:cs="仿宋_GB2312"/>
          <w:kern w:val="2"/>
          <w:sz w:val="32"/>
          <w:szCs w:val="32"/>
          <w:lang w:val="en-US" w:eastAsia="zh-CN" w:bidi="ar-SA"/>
        </w:rPr>
        <w:t>1.通过狠抓常规、常规管理量化赋分评比考核，促进学生习惯的养成。</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8"/>
          <w:szCs w:val="28"/>
          <w:lang w:val="en-US" w:eastAsia="zh-CN"/>
        </w:rPr>
        <w:drawing>
          <wp:inline distT="0" distB="0" distL="114300" distR="114300">
            <wp:extent cx="5264785" cy="2845435"/>
            <wp:effectExtent l="0" t="0" r="12065" b="12065"/>
            <wp:docPr id="51" name="图片 1" descr="e9c5ceb5a2d63fcef79ed1f556d43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descr="e9c5ceb5a2d63fcef79ed1f556d43c1"/>
                    <pic:cNvPicPr>
                      <a:picLocks noChangeAspect="1"/>
                    </pic:cNvPicPr>
                  </pic:nvPicPr>
                  <pic:blipFill>
                    <a:blip r:embed="rId17"/>
                    <a:srcRect t="15673" b="12297"/>
                    <a:stretch>
                      <a:fillRect/>
                    </a:stretch>
                  </pic:blipFill>
                  <pic:spPr>
                    <a:xfrm>
                      <a:off x="0" y="0"/>
                      <a:ext cx="5264785" cy="284543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图12 学生仪容仪表</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2.根据德育工作计划将常规管理贯穿始终，德育活动成体系，每月有主题，每天有检查。</w:t>
      </w:r>
    </w:p>
    <w:p>
      <w:pPr>
        <w:numPr>
          <w:ilvl w:val="0"/>
          <w:numId w:val="0"/>
        </w:numPr>
        <w:ind w:leftChars="200"/>
        <w:rPr>
          <w:rFonts w:hint="default" w:ascii="仿宋" w:hAnsi="仿宋" w:eastAsia="仿宋" w:cs="仿宋"/>
          <w:sz w:val="24"/>
          <w:szCs w:val="24"/>
          <w:lang w:val="en-US" w:eastAsia="zh-CN"/>
        </w:rPr>
      </w:pPr>
      <w:r>
        <w:rPr>
          <w:rFonts w:hint="default" w:ascii="仿宋" w:hAnsi="仿宋" w:eastAsia="仿宋" w:cs="仿宋"/>
          <w:sz w:val="28"/>
          <w:szCs w:val="28"/>
          <w:lang w:val="en-US" w:eastAsia="zh-CN"/>
        </w:rPr>
        <w:drawing>
          <wp:inline distT="0" distB="0" distL="114300" distR="114300">
            <wp:extent cx="5267325" cy="3950335"/>
            <wp:effectExtent l="0" t="0" r="9525" b="12065"/>
            <wp:docPr id="45" name="图片 2" descr="27a1cb9ef1631477ea788e5c8040e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27a1cb9ef1631477ea788e5c8040ec9"/>
                    <pic:cNvPicPr>
                      <a:picLocks noChangeAspect="1"/>
                    </pic:cNvPicPr>
                  </pic:nvPicPr>
                  <pic:blipFill>
                    <a:blip r:embed="rId18"/>
                    <a:stretch>
                      <a:fillRect/>
                    </a:stretch>
                  </pic:blipFill>
                  <pic:spPr>
                    <a:xfrm>
                      <a:off x="0" y="0"/>
                      <a:ext cx="5267325" cy="395033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图13 “技能成才 强国有我”青春宣誓</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outlineLvl w:val="0"/>
        <w:rPr>
          <w:rFonts w:hint="default" w:ascii="仿宋_GB2312" w:hAnsi="仿宋_GB2312" w:eastAsia="仿宋_GB2312" w:cs="仿宋_GB2312"/>
          <w:kern w:val="2"/>
          <w:sz w:val="32"/>
          <w:szCs w:val="32"/>
          <w:lang w:val="en-US" w:eastAsia="zh-CN" w:bidi="ar-SA"/>
        </w:rPr>
      </w:pPr>
      <w:bookmarkStart w:id="3" w:name="_Toc3657"/>
      <w:r>
        <w:rPr>
          <w:rFonts w:hint="eastAsia" w:ascii="仿宋_GB2312" w:hAnsi="仿宋_GB2312" w:eastAsia="仿宋_GB2312" w:cs="仿宋_GB2312"/>
          <w:kern w:val="2"/>
          <w:sz w:val="32"/>
          <w:szCs w:val="32"/>
          <w:lang w:val="en-US" w:eastAsia="zh-CN" w:bidi="ar-SA"/>
        </w:rPr>
        <w:t>3.每周国旗下讲话当作思想引领的机会，让思想的光芒熠熠生辉。</w:t>
      </w:r>
      <w:bookmarkEnd w:id="3"/>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国旗下讲话已成为学校德育工作的重要阵地，充分发挥其育人功能，促进学生健康成长，紧扣爱国、爱校、文明礼仪、习惯养成等主题，激励学生树立崇高理想，争当一名德技双馨的新时代大国工匠。</w:t>
      </w:r>
    </w:p>
    <w:p>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sz w:val="24"/>
          <w:szCs w:val="32"/>
          <w:lang w:val="en-US" w:eastAsia="zh-CN"/>
        </w:rPr>
      </w:pPr>
      <w:r>
        <w:rPr>
          <w:rFonts w:hint="eastAsia" w:ascii="仿宋" w:hAnsi="仿宋" w:eastAsia="仿宋" w:cs="仿宋"/>
          <w:sz w:val="28"/>
          <w:szCs w:val="36"/>
          <w:lang w:val="en-US" w:eastAsia="zh-CN"/>
        </w:rPr>
        <w:drawing>
          <wp:inline distT="0" distB="0" distL="114300" distR="114300">
            <wp:extent cx="5266690" cy="2613025"/>
            <wp:effectExtent l="0" t="0" r="10160" b="15875"/>
            <wp:docPr id="62" name="图片 3" descr="81658eae330e4358d60f7731127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descr="81658eae330e4358d60f77311271444"/>
                    <pic:cNvPicPr>
                      <a:picLocks noChangeAspect="1"/>
                    </pic:cNvPicPr>
                  </pic:nvPicPr>
                  <pic:blipFill>
                    <a:blip r:embed="rId19"/>
                    <a:stretch>
                      <a:fillRect/>
                    </a:stretch>
                  </pic:blipFill>
                  <pic:spPr>
                    <a:xfrm>
                      <a:off x="0" y="0"/>
                      <a:ext cx="5266690" cy="2613025"/>
                    </a:xfrm>
                    <a:prstGeom prst="rect">
                      <a:avLst/>
                    </a:prstGeom>
                    <a:noFill/>
                    <a:ln>
                      <a:noFill/>
                    </a:ln>
                  </pic:spPr>
                </pic:pic>
              </a:graphicData>
            </a:graphic>
          </wp:inline>
        </w:drawing>
      </w:r>
    </w:p>
    <w:p>
      <w:pPr>
        <w:pStyle w:val="2"/>
        <w:ind w:left="0" w:leftChars="0" w:firstLine="0" w:firstLineChars="0"/>
        <w:jc w:val="center"/>
        <w:rPr>
          <w:rFonts w:hint="eastAsia" w:ascii="仿宋" w:hAnsi="仿宋" w:eastAsia="仿宋" w:cs="仿宋"/>
          <w:sz w:val="24"/>
          <w:szCs w:val="32"/>
          <w:lang w:val="en-US" w:eastAsia="zh-CN"/>
        </w:rPr>
      </w:pPr>
      <w:r>
        <w:rPr>
          <w:rFonts w:hint="eastAsia" w:ascii="楷体_GB2312" w:hAnsi="楷体_GB2312" w:eastAsia="楷体_GB2312" w:cs="楷体_GB2312"/>
          <w:b w:val="0"/>
          <w:bCs w:val="0"/>
          <w:kern w:val="2"/>
          <w:sz w:val="32"/>
          <w:szCs w:val="32"/>
          <w:lang w:val="en-US" w:eastAsia="zh-CN" w:bidi="ar-SA"/>
        </w:rPr>
        <w:t xml:space="preserve"> 图14 国旗下讲话</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（五）建立家校共同体，家校同育人</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通过家长会、家访，推动家校从“分离”迈向“共育”，构建家校育人合力，促进学生全面发展，终身发展。</w:t>
      </w:r>
    </w:p>
    <w:p>
      <w:pPr>
        <w:rPr>
          <w:rFonts w:hint="eastAsia" w:ascii="仿宋" w:hAnsi="仿宋" w:eastAsia="仿宋" w:cs="仿宋"/>
          <w:b w:val="0"/>
          <w:bCs w:val="0"/>
          <w:sz w:val="24"/>
          <w:szCs w:val="24"/>
          <w:lang w:val="en-US" w:eastAsia="zh-CN"/>
        </w:rPr>
      </w:pPr>
      <w:r>
        <w:rPr>
          <w:rFonts w:hint="default" w:ascii="仿宋" w:hAnsi="仿宋" w:eastAsia="仿宋" w:cs="仿宋"/>
          <w:b/>
          <w:bCs/>
          <w:sz w:val="28"/>
          <w:szCs w:val="36"/>
          <w:lang w:val="en-US" w:eastAsia="zh-CN"/>
        </w:rPr>
        <w:drawing>
          <wp:inline distT="0" distB="0" distL="114300" distR="114300">
            <wp:extent cx="5264785" cy="2978785"/>
            <wp:effectExtent l="0" t="0" r="12065" b="12065"/>
            <wp:docPr id="64" name="图片 4" descr="微信图片_2022041908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 descr="微信图片_20220419082958"/>
                    <pic:cNvPicPr>
                      <a:picLocks noChangeAspect="1"/>
                    </pic:cNvPicPr>
                  </pic:nvPicPr>
                  <pic:blipFill>
                    <a:blip r:embed="rId20"/>
                    <a:stretch>
                      <a:fillRect/>
                    </a:stretch>
                  </pic:blipFill>
                  <pic:spPr>
                    <a:xfrm>
                      <a:off x="0" y="0"/>
                      <a:ext cx="5264785" cy="2978785"/>
                    </a:xfrm>
                    <a:prstGeom prst="rect">
                      <a:avLst/>
                    </a:prstGeom>
                    <a:noFill/>
                    <a:ln>
                      <a:noFill/>
                    </a:ln>
                  </pic:spPr>
                </pic:pic>
              </a:graphicData>
            </a:graphic>
          </wp:inline>
        </w:drawing>
      </w:r>
    </w:p>
    <w:p>
      <w:pPr>
        <w:pStyle w:val="2"/>
        <w:ind w:left="0" w:leftChars="0" w:firstLine="0" w:firstLineChars="0"/>
        <w:jc w:val="center"/>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图15 一年级学生家长会</w:t>
      </w:r>
    </w:p>
    <w:p>
      <w:pPr>
        <w:jc w:val="left"/>
        <w:rPr>
          <w:rFonts w:hint="eastAsia" w:ascii="仿宋" w:hAnsi="仿宋" w:eastAsia="仿宋" w:cs="仿宋"/>
          <w:b w:val="0"/>
          <w:bCs w:val="0"/>
          <w:sz w:val="24"/>
          <w:szCs w:val="24"/>
          <w:lang w:val="en-US" w:eastAsia="zh-CN"/>
        </w:rPr>
      </w:pPr>
    </w:p>
    <w:p>
      <w:pPr>
        <w:jc w:val="left"/>
        <w:rPr>
          <w:rFonts w:hint="default" w:ascii="仿宋" w:hAnsi="仿宋" w:eastAsia="仿宋" w:cs="仿宋"/>
          <w:b/>
          <w:bCs/>
          <w:sz w:val="24"/>
          <w:szCs w:val="32"/>
          <w:lang w:val="en-US" w:eastAsia="zh-CN"/>
        </w:rPr>
      </w:pPr>
      <w:r>
        <w:rPr>
          <w:rFonts w:hint="default" w:ascii="仿宋" w:hAnsi="仿宋" w:eastAsia="仿宋" w:cs="仿宋"/>
          <w:b/>
          <w:bCs/>
          <w:sz w:val="28"/>
          <w:szCs w:val="36"/>
          <w:lang w:val="en-US" w:eastAsia="zh-CN"/>
        </w:rPr>
        <w:drawing>
          <wp:inline distT="0" distB="0" distL="114300" distR="114300">
            <wp:extent cx="5268595" cy="3655060"/>
            <wp:effectExtent l="0" t="0" r="8255" b="2540"/>
            <wp:docPr id="61" name="图片 5" descr="e6e0b6a146d5318ce2a03e8cb5b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descr="e6e0b6a146d5318ce2a03e8cb5b0561"/>
                    <pic:cNvPicPr>
                      <a:picLocks noChangeAspect="1"/>
                    </pic:cNvPicPr>
                  </pic:nvPicPr>
                  <pic:blipFill>
                    <a:blip r:embed="rId21"/>
                    <a:srcRect t="6510" b="964"/>
                    <a:stretch>
                      <a:fillRect/>
                    </a:stretch>
                  </pic:blipFill>
                  <pic:spPr>
                    <a:xfrm>
                      <a:off x="0" y="0"/>
                      <a:ext cx="5268595" cy="3655060"/>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图16 班主任家访</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（六）德育活动开展情况</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outlineLvl w:val="0"/>
        <w:rPr>
          <w:rFonts w:hint="eastAsia" w:ascii="仿宋_GB2312" w:hAnsi="仿宋_GB2312" w:eastAsia="仿宋_GB2312" w:cs="仿宋_GB2312"/>
          <w:kern w:val="2"/>
          <w:sz w:val="32"/>
          <w:szCs w:val="32"/>
          <w:lang w:val="en-US" w:eastAsia="zh-CN" w:bidi="ar-SA"/>
        </w:rPr>
      </w:pPr>
      <w:bookmarkStart w:id="4" w:name="_Toc30582"/>
      <w:r>
        <w:rPr>
          <w:rFonts w:hint="eastAsia" w:ascii="仿宋_GB2312" w:hAnsi="仿宋_GB2312" w:eastAsia="仿宋_GB2312" w:cs="仿宋_GB2312"/>
          <w:kern w:val="2"/>
          <w:sz w:val="32"/>
          <w:szCs w:val="32"/>
          <w:lang w:val="en-US" w:eastAsia="zh-CN" w:bidi="ar-SA"/>
        </w:rPr>
        <w:t>1.开展主题班会，全面提高班级凝聚力和学生综合素质</w:t>
      </w:r>
      <w:bookmarkEnd w:id="4"/>
      <w:r>
        <w:rPr>
          <w:rFonts w:hint="eastAsia" w:ascii="仿宋_GB2312" w:hAnsi="仿宋_GB2312" w:eastAsia="仿宋_GB2312" w:cs="仿宋_GB2312"/>
          <w:kern w:val="2"/>
          <w:sz w:val="32"/>
          <w:szCs w:val="32"/>
          <w:lang w:val="en-US" w:eastAsia="zh-CN" w:bidi="ar-SA"/>
        </w:rPr>
        <w:t>。</w:t>
      </w:r>
    </w:p>
    <w:p>
      <w:pPr>
        <w:numPr>
          <w:ilvl w:val="0"/>
          <w:numId w:val="0"/>
        </w:numPr>
        <w:rPr>
          <w:rFonts w:hint="default" w:ascii="仿宋" w:hAnsi="仿宋" w:eastAsia="仿宋" w:cs="仿宋"/>
          <w:sz w:val="28"/>
          <w:szCs w:val="28"/>
          <w:lang w:val="en-US" w:eastAsia="zh-CN"/>
        </w:rPr>
      </w:pPr>
      <w:r>
        <w:rPr>
          <w:rFonts w:hint="eastAsia" w:ascii="仿宋" w:hAnsi="仿宋" w:eastAsia="仿宋" w:cs="仿宋"/>
          <w:sz w:val="28"/>
          <w:szCs w:val="36"/>
          <w:lang w:val="en-US" w:eastAsia="zh-CN"/>
        </w:rPr>
        <w:drawing>
          <wp:inline distT="0" distB="0" distL="114300" distR="114300">
            <wp:extent cx="5260975" cy="2870200"/>
            <wp:effectExtent l="0" t="0" r="15875" b="6350"/>
            <wp:docPr id="55" name="图片 6" descr="微信图片_2022102008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descr="微信图片_20221020081656"/>
                    <pic:cNvPicPr>
                      <a:picLocks noChangeAspect="1"/>
                    </pic:cNvPicPr>
                  </pic:nvPicPr>
                  <pic:blipFill>
                    <a:blip r:embed="rId22"/>
                    <a:stretch>
                      <a:fillRect/>
                    </a:stretch>
                  </pic:blipFill>
                  <pic:spPr>
                    <a:xfrm>
                      <a:off x="0" y="0"/>
                      <a:ext cx="5260975" cy="2870200"/>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图17 主题班会掠影</w:t>
      </w:r>
    </w:p>
    <w:p>
      <w:pPr>
        <w:rPr>
          <w:rFonts w:hint="eastAsia" w:ascii="楷体_GB2312" w:hAnsi="楷体_GB2312" w:eastAsia="楷体_GB2312" w:cs="楷体_GB2312"/>
          <w:b w:val="0"/>
          <w:bCs w:val="0"/>
          <w:kern w:val="2"/>
          <w:sz w:val="32"/>
          <w:szCs w:val="32"/>
          <w:lang w:val="en-US" w:eastAsia="zh-CN" w:bidi="ar-SA"/>
        </w:rPr>
      </w:pPr>
      <w:r>
        <w:rPr>
          <w:rFonts w:hint="eastAsia" w:ascii="仿宋" w:hAnsi="仿宋" w:eastAsia="仿宋" w:cs="仿宋"/>
          <w:sz w:val="28"/>
          <w:szCs w:val="36"/>
          <w:lang w:val="en-US" w:eastAsia="zh-CN"/>
        </w:rPr>
        <w:drawing>
          <wp:inline distT="0" distB="0" distL="114300" distR="114300">
            <wp:extent cx="5264785" cy="3950335"/>
            <wp:effectExtent l="0" t="0" r="12065" b="12065"/>
            <wp:docPr id="53" name="图片 7" descr="微信图片_2022102008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descr="微信图片_20221020081550"/>
                    <pic:cNvPicPr>
                      <a:picLocks noChangeAspect="1"/>
                    </pic:cNvPicPr>
                  </pic:nvPicPr>
                  <pic:blipFill>
                    <a:blip r:embed="rId23"/>
                    <a:stretch>
                      <a:fillRect/>
                    </a:stretch>
                  </pic:blipFill>
                  <pic:spPr>
                    <a:xfrm>
                      <a:off x="0" y="0"/>
                      <a:ext cx="5264785" cy="395033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图18 主题班会掠影</w:t>
      </w:r>
    </w:p>
    <w:p>
      <w:pPr>
        <w:rPr>
          <w:rFonts w:hint="eastAsia" w:ascii="仿宋" w:hAnsi="仿宋" w:eastAsia="仿宋" w:cs="仿宋"/>
          <w:sz w:val="28"/>
          <w:szCs w:val="28"/>
          <w:lang w:val="en-US" w:eastAsia="zh-CN"/>
        </w:rPr>
      </w:pPr>
      <w:r>
        <w:rPr>
          <w:rFonts w:hint="eastAsia" w:ascii="仿宋" w:hAnsi="仿宋" w:eastAsia="仿宋" w:cs="仿宋"/>
          <w:b/>
          <w:bCs/>
          <w:sz w:val="28"/>
          <w:szCs w:val="36"/>
          <w:lang w:val="en-US" w:eastAsia="zh-CN"/>
        </w:rPr>
        <w:drawing>
          <wp:inline distT="0" distB="0" distL="114300" distR="114300">
            <wp:extent cx="5260975" cy="3688715"/>
            <wp:effectExtent l="0" t="0" r="15875" b="6985"/>
            <wp:docPr id="56" name="图片 8" descr="微信图片_2022101008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descr="微信图片_20221010081613"/>
                    <pic:cNvPicPr>
                      <a:picLocks noChangeAspect="1"/>
                    </pic:cNvPicPr>
                  </pic:nvPicPr>
                  <pic:blipFill>
                    <a:blip r:embed="rId24"/>
                    <a:stretch>
                      <a:fillRect/>
                    </a:stretch>
                  </pic:blipFill>
                  <pic:spPr>
                    <a:xfrm>
                      <a:off x="0" y="0"/>
                      <a:ext cx="5260975" cy="368871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图19 主题班会掠影</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outlineLvl w:val="0"/>
        <w:rPr>
          <w:rFonts w:hint="eastAsia" w:ascii="仿宋_GB2312" w:hAnsi="仿宋_GB2312" w:eastAsia="仿宋_GB2312" w:cs="仿宋_GB2312"/>
          <w:kern w:val="2"/>
          <w:sz w:val="32"/>
          <w:szCs w:val="32"/>
          <w:lang w:val="en-US" w:eastAsia="zh-CN" w:bidi="ar-SA"/>
        </w:rPr>
      </w:pPr>
      <w:bookmarkStart w:id="5" w:name="_Toc19826"/>
      <w:r>
        <w:rPr>
          <w:rFonts w:hint="eastAsia" w:ascii="仿宋_GB2312" w:hAnsi="仿宋_GB2312" w:eastAsia="仿宋_GB2312" w:cs="仿宋_GB2312"/>
          <w:kern w:val="2"/>
          <w:sz w:val="32"/>
          <w:szCs w:val="32"/>
          <w:lang w:val="en-US" w:eastAsia="zh-CN" w:bidi="ar-SA"/>
        </w:rPr>
        <w:t>2.法制教育活动</w:t>
      </w:r>
      <w:bookmarkEnd w:id="5"/>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通过举办法制讲座、主题班会、模拟法庭等途径，增强学生的学法、守法、用法意识，提高学生的自我保护能力。</w:t>
      </w:r>
    </w:p>
    <w:p>
      <w:pPr>
        <w:rPr>
          <w:rFonts w:hint="eastAsia" w:ascii="楷体_GB2312" w:hAnsi="楷体_GB2312" w:eastAsia="楷体_GB2312" w:cs="楷体_GB2312"/>
          <w:b w:val="0"/>
          <w:bCs w:val="0"/>
          <w:kern w:val="2"/>
          <w:sz w:val="32"/>
          <w:szCs w:val="32"/>
          <w:lang w:val="en-US" w:eastAsia="zh-CN" w:bidi="ar-SA"/>
        </w:rPr>
      </w:pPr>
      <w:r>
        <w:rPr>
          <w:rFonts w:hint="eastAsia" w:ascii="仿宋" w:hAnsi="仿宋" w:eastAsia="仿宋" w:cs="仿宋"/>
          <w:sz w:val="28"/>
          <w:szCs w:val="36"/>
          <w:lang w:val="en-US" w:eastAsia="zh-CN"/>
        </w:rPr>
        <w:drawing>
          <wp:inline distT="0" distB="0" distL="114300" distR="114300">
            <wp:extent cx="5237480" cy="3905250"/>
            <wp:effectExtent l="0" t="0" r="1270" b="0"/>
            <wp:docPr id="58" name="图片 9" descr="微信图片_2022061609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descr="微信图片_20220616090524"/>
                    <pic:cNvPicPr>
                      <a:picLocks noChangeAspect="1"/>
                    </pic:cNvPicPr>
                  </pic:nvPicPr>
                  <pic:blipFill>
                    <a:blip r:embed="rId25"/>
                    <a:stretch>
                      <a:fillRect/>
                    </a:stretch>
                  </pic:blipFill>
                  <pic:spPr>
                    <a:xfrm>
                      <a:off x="0" y="0"/>
                      <a:ext cx="5237480" cy="3905250"/>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图20 法制报告会</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outlineLvl w:val="0"/>
        <w:rPr>
          <w:rFonts w:hint="eastAsia" w:ascii="仿宋_GB2312" w:hAnsi="仿宋_GB2312" w:eastAsia="仿宋_GB2312" w:cs="仿宋_GB2312"/>
          <w:kern w:val="2"/>
          <w:sz w:val="32"/>
          <w:szCs w:val="32"/>
          <w:lang w:val="en-US" w:eastAsia="zh-CN" w:bidi="ar-SA"/>
        </w:rPr>
      </w:pPr>
      <w:bookmarkStart w:id="6" w:name="_Toc4639"/>
      <w:r>
        <w:rPr>
          <w:rFonts w:hint="eastAsia" w:ascii="仿宋_GB2312" w:hAnsi="仿宋_GB2312" w:eastAsia="仿宋_GB2312" w:cs="仿宋_GB2312"/>
          <w:kern w:val="2"/>
          <w:sz w:val="32"/>
          <w:szCs w:val="32"/>
          <w:lang w:val="en-US" w:eastAsia="zh-CN" w:bidi="ar-SA"/>
        </w:rPr>
        <w:t>3.德育大讲堂以榜样潜移默化教育学生</w:t>
      </w:r>
      <w:bookmarkEnd w:id="6"/>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定期开展“德育大讲堂”活动，打造学生思想道德建设新平台，以“身边人讲身边事、身边人讲自己事、身边事教身边人”的形式，引导广大学生崇尚道德模范、学习道德模范、争当道德模范，培养高尚情操，弘扬新风正气，努力做社会主义核心价值体系的模范践行者。</w:t>
      </w:r>
    </w:p>
    <w:p>
      <w:pPr>
        <w:rPr>
          <w:rFonts w:hint="eastAsia" w:ascii="仿宋" w:hAnsi="仿宋" w:eastAsia="仿宋" w:cs="仿宋"/>
          <w:sz w:val="24"/>
          <w:szCs w:val="24"/>
          <w:lang w:val="en-US" w:eastAsia="zh-CN"/>
        </w:rPr>
      </w:pPr>
      <w:r>
        <w:rPr>
          <w:rFonts w:hint="eastAsia" w:ascii="仿宋" w:hAnsi="仿宋" w:eastAsia="仿宋" w:cs="仿宋"/>
          <w:sz w:val="28"/>
          <w:szCs w:val="36"/>
          <w:lang w:val="en-US" w:eastAsia="zh-CN"/>
        </w:rPr>
        <w:drawing>
          <wp:inline distT="0" distB="0" distL="114300" distR="114300">
            <wp:extent cx="5266690" cy="2884805"/>
            <wp:effectExtent l="0" t="0" r="10160" b="10795"/>
            <wp:docPr id="59" name="图片 10" descr="微信图片_2020122317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descr="微信图片_20201223172106"/>
                    <pic:cNvPicPr>
                      <a:picLocks noChangeAspect="1"/>
                    </pic:cNvPicPr>
                  </pic:nvPicPr>
                  <pic:blipFill>
                    <a:blip r:embed="rId26"/>
                    <a:stretch>
                      <a:fillRect/>
                    </a:stretch>
                  </pic:blipFill>
                  <pic:spPr>
                    <a:xfrm>
                      <a:off x="0" y="0"/>
                      <a:ext cx="5266690" cy="288480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图21 德育大讲堂掠影</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4.帮助学生找准自身发展方向，规划未来人生蓝图，开展职业生涯规划讲座。同学们在热情参与中，不知不觉地领悟确立目标、规划人生的重要性，更加坚定信念，奋力拼搏，发掘潜能，成就自我。</w:t>
      </w:r>
    </w:p>
    <w:p>
      <w:pPr>
        <w:rPr>
          <w:rFonts w:hint="eastAsia" w:ascii="楷体_GB2312" w:hAnsi="楷体_GB2312" w:eastAsia="楷体_GB2312" w:cs="楷体_GB2312"/>
          <w:b w:val="0"/>
          <w:bCs w:val="0"/>
          <w:kern w:val="2"/>
          <w:sz w:val="32"/>
          <w:szCs w:val="32"/>
          <w:lang w:val="en-US" w:eastAsia="zh-CN" w:bidi="ar-SA"/>
        </w:rPr>
      </w:pPr>
      <w:r>
        <w:rPr>
          <w:rFonts w:hint="eastAsia" w:ascii="仿宋" w:hAnsi="仿宋" w:eastAsia="仿宋" w:cs="仿宋"/>
          <w:sz w:val="28"/>
          <w:szCs w:val="36"/>
          <w:lang w:val="en-US" w:eastAsia="zh-CN"/>
        </w:rPr>
        <w:drawing>
          <wp:inline distT="0" distB="0" distL="114300" distR="114300">
            <wp:extent cx="5274310" cy="3117850"/>
            <wp:effectExtent l="0" t="0" r="2540" b="6350"/>
            <wp:docPr id="57" name="图片 11" descr="微信图片_2019101810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descr="微信图片_20191018105251"/>
                    <pic:cNvPicPr>
                      <a:picLocks noChangeAspect="1"/>
                    </pic:cNvPicPr>
                  </pic:nvPicPr>
                  <pic:blipFill>
                    <a:blip r:embed="rId27"/>
                    <a:srcRect t="7358"/>
                    <a:stretch>
                      <a:fillRect/>
                    </a:stretch>
                  </pic:blipFill>
                  <pic:spPr>
                    <a:xfrm>
                      <a:off x="0" y="0"/>
                      <a:ext cx="5274310" cy="3117850"/>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图22 职业生涯规划讲座掠影</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outlineLvl w:val="0"/>
        <w:rPr>
          <w:rFonts w:hint="default" w:ascii="仿宋_GB2312" w:hAnsi="仿宋_GB2312" w:eastAsia="仿宋_GB2312" w:cs="仿宋_GB2312"/>
          <w:kern w:val="2"/>
          <w:sz w:val="32"/>
          <w:szCs w:val="32"/>
          <w:lang w:val="en-US" w:eastAsia="zh-CN" w:bidi="ar-SA"/>
        </w:rPr>
      </w:pPr>
      <w:bookmarkStart w:id="7" w:name="_Toc16039"/>
      <w:r>
        <w:rPr>
          <w:rFonts w:hint="eastAsia" w:ascii="仿宋_GB2312" w:hAnsi="仿宋_GB2312" w:eastAsia="仿宋_GB2312" w:cs="仿宋_GB2312"/>
          <w:kern w:val="2"/>
          <w:sz w:val="32"/>
          <w:szCs w:val="32"/>
          <w:lang w:val="en-US" w:eastAsia="zh-CN" w:bidi="ar-SA"/>
        </w:rPr>
        <w:t>5.社会实践活动</w:t>
      </w:r>
      <w:bookmarkEnd w:id="7"/>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学生参与社区、养老院和公益活动团队等进行社会实践活动，培养学生的参与意识、创新意识和勤于实践、勇于探索、精诚合作的精神，不断提升学生精神境界、道德修养，完善学生人格。</w:t>
      </w:r>
    </w:p>
    <w:p>
      <w:pPr>
        <w:rPr>
          <w:rFonts w:hint="eastAsia" w:ascii="仿宋" w:hAnsi="仿宋" w:eastAsia="仿宋" w:cs="仿宋"/>
          <w:sz w:val="24"/>
          <w:szCs w:val="24"/>
          <w:lang w:val="en-US" w:eastAsia="zh-CN"/>
        </w:rPr>
      </w:pPr>
      <w:r>
        <w:rPr>
          <w:rFonts w:hint="eastAsia" w:ascii="仿宋" w:hAnsi="仿宋" w:eastAsia="仿宋" w:cs="仿宋"/>
          <w:sz w:val="28"/>
          <w:szCs w:val="36"/>
          <w:lang w:val="en-US" w:eastAsia="zh-CN"/>
        </w:rPr>
        <w:drawing>
          <wp:inline distT="0" distB="0" distL="114300" distR="114300">
            <wp:extent cx="5266690" cy="1997075"/>
            <wp:effectExtent l="0" t="0" r="10160" b="3175"/>
            <wp:docPr id="60" name="图片 12" descr="微信图片_2022032209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descr="微信图片_20220322093313"/>
                    <pic:cNvPicPr>
                      <a:picLocks noChangeAspect="1"/>
                    </pic:cNvPicPr>
                  </pic:nvPicPr>
                  <pic:blipFill>
                    <a:blip r:embed="rId28"/>
                    <a:stretch>
                      <a:fillRect/>
                    </a:stretch>
                  </pic:blipFill>
                  <pic:spPr>
                    <a:xfrm>
                      <a:off x="0" y="0"/>
                      <a:ext cx="5266690" cy="199707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图23 社区服务掠影</w:t>
      </w:r>
    </w:p>
    <w:p>
      <w:pPr>
        <w:rPr>
          <w:rFonts w:hint="eastAsia" w:ascii="仿宋" w:hAnsi="仿宋" w:eastAsia="仿宋" w:cs="仿宋"/>
          <w:sz w:val="24"/>
          <w:szCs w:val="24"/>
          <w:lang w:val="en-US" w:eastAsia="zh-CN"/>
        </w:rPr>
      </w:pPr>
      <w:r>
        <w:rPr>
          <w:rFonts w:hint="eastAsia" w:ascii="仿宋" w:hAnsi="仿宋" w:eastAsia="仿宋" w:cs="仿宋"/>
          <w:b/>
          <w:bCs/>
          <w:sz w:val="28"/>
          <w:szCs w:val="36"/>
          <w:lang w:val="en-US" w:eastAsia="zh-CN"/>
        </w:rPr>
        <w:drawing>
          <wp:inline distT="0" distB="0" distL="114300" distR="114300">
            <wp:extent cx="5274310" cy="3622675"/>
            <wp:effectExtent l="0" t="0" r="2540" b="15875"/>
            <wp:docPr id="63" name="图片 13" descr="微信图片_2022010409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3" descr="微信图片_20220104094425"/>
                    <pic:cNvPicPr>
                      <a:picLocks noChangeAspect="1"/>
                    </pic:cNvPicPr>
                  </pic:nvPicPr>
                  <pic:blipFill>
                    <a:blip r:embed="rId29"/>
                    <a:stretch>
                      <a:fillRect/>
                    </a:stretch>
                  </pic:blipFill>
                  <pic:spPr>
                    <a:xfrm>
                      <a:off x="0" y="0"/>
                      <a:ext cx="5274310" cy="3622675"/>
                    </a:xfrm>
                    <a:prstGeom prst="rect">
                      <a:avLst/>
                    </a:prstGeom>
                    <a:noFill/>
                    <a:ln>
                      <a:noFill/>
                    </a:ln>
                  </pic:spPr>
                </pic:pic>
              </a:graphicData>
            </a:graphic>
          </wp:inline>
        </w:drawing>
      </w:r>
    </w:p>
    <w:p>
      <w:pPr>
        <w:pStyle w:val="2"/>
        <w:ind w:left="0" w:leftChars="0" w:firstLine="0" w:firstLineChars="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图24 志愿服务十四运</w:t>
      </w:r>
    </w:p>
    <w:p>
      <w:pPr>
        <w:pStyle w:val="2"/>
        <w:ind w:left="0" w:leftChars="0" w:firstLine="0" w:firstLineChars="0"/>
        <w:rPr>
          <w:rFonts w:hint="eastAsia"/>
          <w:lang w:eastAsia="zh-CN"/>
        </w:rPr>
      </w:pP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1.3在校体验</w:t>
      </w:r>
    </w:p>
    <w:p>
      <w:pPr>
        <w:pStyle w:val="1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20" w:afterAutospacing="0"/>
        <w:ind w:left="120" w:right="120" w:firstLine="0"/>
        <w:jc w:val="center"/>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表5中等职业教育满意度调查表</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2565"/>
        <w:gridCol w:w="1042"/>
        <w:gridCol w:w="1193"/>
        <w:gridCol w:w="1425"/>
        <w:gridCol w:w="1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923"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b/>
                <w:bCs/>
                <w:i w:val="0"/>
                <w:iCs w:val="0"/>
                <w:caps w:val="0"/>
                <w:color w:val="222222"/>
                <w:spacing w:val="8"/>
                <w:kern w:val="0"/>
                <w:sz w:val="24"/>
                <w:szCs w:val="24"/>
                <w:lang w:val="en-US" w:eastAsia="zh-CN" w:bidi="ar"/>
              </w:rPr>
              <w:t>序号</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Style w:val="17"/>
                <w:rFonts w:hint="eastAsia" w:ascii="宋体" w:hAnsi="宋体" w:eastAsia="宋体" w:cs="宋体"/>
                <w:i w:val="0"/>
                <w:iCs w:val="0"/>
                <w:caps w:val="0"/>
                <w:color w:val="222222"/>
                <w:spacing w:val="8"/>
                <w:kern w:val="0"/>
                <w:sz w:val="24"/>
                <w:szCs w:val="24"/>
                <w:lang w:val="en-US" w:eastAsia="zh-CN" w:bidi="ar"/>
              </w:rPr>
              <w:t>指标</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Style w:val="17"/>
                <w:rFonts w:hint="eastAsia" w:ascii="宋体" w:hAnsi="宋体" w:eastAsia="宋体" w:cs="宋体"/>
                <w:i w:val="0"/>
                <w:iCs w:val="0"/>
                <w:caps w:val="0"/>
                <w:color w:val="222222"/>
                <w:spacing w:val="8"/>
                <w:kern w:val="0"/>
                <w:sz w:val="24"/>
                <w:szCs w:val="24"/>
                <w:lang w:val="en-US" w:eastAsia="zh-CN" w:bidi="ar"/>
              </w:rPr>
              <w:t>单位</w:t>
            </w:r>
          </w:p>
        </w:tc>
        <w:tc>
          <w:tcPr>
            <w:tcW w:w="1193"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Style w:val="17"/>
                <w:rFonts w:hint="eastAsia" w:ascii="宋体" w:hAnsi="宋体" w:eastAsia="宋体" w:cs="宋体"/>
                <w:i w:val="0"/>
                <w:iCs w:val="0"/>
                <w:caps w:val="0"/>
                <w:color w:val="222222"/>
                <w:spacing w:val="8"/>
                <w:kern w:val="0"/>
                <w:sz w:val="24"/>
                <w:szCs w:val="24"/>
                <w:lang w:val="en-US" w:eastAsia="zh-CN" w:bidi="ar"/>
              </w:rPr>
              <w:t>2022年</w:t>
            </w:r>
          </w:p>
        </w:tc>
        <w:tc>
          <w:tcPr>
            <w:tcW w:w="142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Style w:val="17"/>
                <w:rFonts w:hint="eastAsia" w:ascii="宋体" w:hAnsi="宋体" w:eastAsia="宋体" w:cs="宋体"/>
                <w:i w:val="0"/>
                <w:iCs w:val="0"/>
                <w:caps w:val="0"/>
                <w:color w:val="222222"/>
                <w:spacing w:val="8"/>
                <w:kern w:val="0"/>
                <w:sz w:val="24"/>
                <w:szCs w:val="24"/>
                <w:lang w:val="en-US" w:eastAsia="zh-CN" w:bidi="ar"/>
              </w:rPr>
              <w:t>调查人数</w:t>
            </w:r>
          </w:p>
        </w:tc>
        <w:tc>
          <w:tcPr>
            <w:tcW w:w="1912" w:type="dxa"/>
            <w:vAlign w:val="center"/>
          </w:tcPr>
          <w:p>
            <w:pPr>
              <w:tabs>
                <w:tab w:val="left" w:pos="958"/>
                <w:tab w:val="left" w:pos="1078"/>
              </w:tabs>
              <w:jc w:val="center"/>
              <w:rPr>
                <w:rFonts w:hint="eastAsia" w:ascii="宋体" w:hAnsi="宋体" w:eastAsia="宋体" w:cs="宋体"/>
                <w:color w:val="auto"/>
                <w:sz w:val="24"/>
                <w:szCs w:val="24"/>
                <w:vertAlign w:val="baseline"/>
                <w:lang w:val="en-US" w:eastAsia="zh-CN"/>
              </w:rPr>
            </w:pPr>
            <w:r>
              <w:rPr>
                <w:rStyle w:val="17"/>
                <w:rFonts w:hint="eastAsia" w:ascii="宋体" w:hAnsi="宋体" w:eastAsia="宋体" w:cs="宋体"/>
                <w:i w:val="0"/>
                <w:iCs w:val="0"/>
                <w:caps w:val="0"/>
                <w:color w:val="222222"/>
                <w:spacing w:val="8"/>
                <w:kern w:val="0"/>
                <w:sz w:val="24"/>
                <w:szCs w:val="24"/>
                <w:lang w:val="en-US" w:eastAsia="zh-CN" w:bidi="ar"/>
              </w:rPr>
              <w:t>调查方式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923" w:type="dxa"/>
            <w:vMerge w:val="restart"/>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1</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在校生满意度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95</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253</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trPr>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其中：课堂育人满意度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94.6</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235</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课外育人满意度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kern w:val="2"/>
                <w:sz w:val="24"/>
                <w:szCs w:val="24"/>
                <w:lang w:val="en-US" w:eastAsia="zh-CN" w:bidi="ar-SA"/>
              </w:rPr>
              <w:t>96</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kern w:val="2"/>
                <w:sz w:val="24"/>
                <w:szCs w:val="24"/>
                <w:lang w:val="en-US" w:eastAsia="zh-CN" w:bidi="ar-SA"/>
              </w:rPr>
              <w:t>200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思想政治教学满意度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99.7</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231</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公共基础课（不含思想政治）教学满意度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94.5</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208</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专业课教学满意度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94.3</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218</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923" w:type="dxa"/>
            <w:vMerge w:val="restart"/>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2</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毕业生满意度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99.3</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320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其中：应届毕业生满意度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98.2</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240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dxa"/>
            <w:vMerge w:val="continue"/>
            <w:vAlign w:val="center"/>
          </w:tcPr>
          <w:p>
            <w:pPr>
              <w:jc w:val="center"/>
              <w:rPr>
                <w:rFonts w:hint="eastAsia" w:ascii="宋体" w:hAnsi="宋体" w:eastAsia="宋体" w:cs="宋体"/>
                <w:color w:val="auto"/>
                <w:sz w:val="24"/>
                <w:szCs w:val="24"/>
                <w:vertAlign w:val="baseline"/>
                <w:lang w:val="en-US" w:eastAsia="zh-CN"/>
              </w:rPr>
            </w:pP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毕业三年内毕业生满意度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97.6</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80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923"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3</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教职工满意度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96</w:t>
            </w:r>
          </w:p>
        </w:tc>
        <w:tc>
          <w:tcPr>
            <w:tcW w:w="1425" w:type="dxa"/>
            <w:vAlign w:val="center"/>
          </w:tcPr>
          <w:p>
            <w:pPr>
              <w:jc w:val="center"/>
              <w:rPr>
                <w:rFonts w:hint="default"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150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调查问卷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923"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4</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用人单位满意度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sz w:val="24"/>
                <w:szCs w:val="24"/>
                <w:lang w:val="en-US" w:eastAsia="zh-CN"/>
              </w:rPr>
              <w:t>97.2</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26</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电话、调查问卷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923"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5</w:t>
            </w:r>
          </w:p>
        </w:tc>
        <w:tc>
          <w:tcPr>
            <w:tcW w:w="2565"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家长满意度</w:t>
            </w:r>
          </w:p>
        </w:tc>
        <w:tc>
          <w:tcPr>
            <w:tcW w:w="104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w:t>
            </w:r>
          </w:p>
        </w:tc>
        <w:tc>
          <w:tcPr>
            <w:tcW w:w="1193"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99</w:t>
            </w:r>
          </w:p>
        </w:tc>
        <w:tc>
          <w:tcPr>
            <w:tcW w:w="1425" w:type="dxa"/>
            <w:vAlign w:val="center"/>
          </w:tcPr>
          <w:p>
            <w:pPr>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120</w:t>
            </w:r>
          </w:p>
        </w:tc>
        <w:tc>
          <w:tcPr>
            <w:tcW w:w="1912"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ascii="宋体" w:hAnsi="宋体" w:eastAsia="宋体" w:cs="宋体"/>
                <w:color w:val="auto"/>
                <w:sz w:val="24"/>
                <w:szCs w:val="24"/>
                <w:vertAlign w:val="baseline"/>
                <w:lang w:val="en-US" w:eastAsia="zh-CN"/>
              </w:rPr>
            </w:pPr>
            <w:r>
              <w:rPr>
                <w:rFonts w:hint="eastAsia" w:ascii="宋体" w:hAnsi="宋体" w:eastAsia="宋体" w:cs="宋体"/>
                <w:i w:val="0"/>
                <w:iCs w:val="0"/>
                <w:caps w:val="0"/>
                <w:color w:val="222222"/>
                <w:spacing w:val="8"/>
                <w:kern w:val="0"/>
                <w:sz w:val="24"/>
                <w:szCs w:val="24"/>
                <w:lang w:val="en-US" w:eastAsia="zh-CN" w:bidi="ar"/>
              </w:rPr>
              <w:t>电话、调查问卷</w:t>
            </w:r>
          </w:p>
        </w:tc>
      </w:tr>
    </w:tbl>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校生满意度：为了解学生在校体验情况，及时改进学校各方面工作，本学期分别从在校一二三年级各个班级随机选取了部分同学作为代表，共计253人，进行了调查问卷。学生对问卷所有项目的满意率都在90%以上，包括课堂育人满意率94.6%、课外育人满意率96%、思政课教学满意率99.7%、公共基础课（不含思想政治）教学满意度94.5%、专业技能课教学等的满意度满意率94.3%。</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毕业生满意度： 学校通过电话、微信群等形式，用调查问卷对毕业生进行调查，包括应届毕业生240人和已毕业三年的毕业生80人。其中：应届毕业生满意度98.2%，毕业三年内毕业生满意度97.6%。</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教职工满意度：学校通过下发调查问卷方式对学校本部150名教职员工代表进行调查统计，教职工满意度96%。</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用人单位满意度：对录用本校应届毕业生单位的26人，通过电话联系，问卷方式调查统计，用人单位对录用本校学生的满意度为97.2%。</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家长满意度：学校对120名在校生和毕业生家长代表用电话联系、问卷方式进行沟通获取，家长满意度99%。</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1.4就业质量</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坚持“巩固、提高、指导、拓宽”的思路，遵循“学生愿意，家长同意，学校批准，择优先推”的原则。通过校企联合办学、订单式培养、举办毕业生招聘会、外出考察等方式不断拓展毕业生就业渠道；同时，也鼓励中职毕业生积极参加单招考试，进入高等学府继续深造提升。</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2022年学校毕业生数为781人，升学人数为528人，就业人数为249人（其中包含2017级3+2学生83人），4名同学应征义务兵，职业资格证书的获得率达到96%。从人数中可以发现，升学学生占到了67.6%，主要通过职教单独招生考试、分类招生考试、“3+2”五年连读、普通高考等途径进入高一级院校进行深造，这与近年来国家打通了职业教育升学通道有很大关系。选择直接就业学生主要集中在中餐烹饪、汽车运用与维修、现代通信技术、计算机应用等专业，就业情况较好。</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1.5创新创业</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是学校积极与人社部门联系，对在校学生开展毕业生创新创业培训。二是加大校企合作力度。建立校企合作专业建设指导委员会，与企业共同制订人才培养方案、课程标准、评价标准；立足校企资源共享、互利共赢，促进知识学习、技能实训、工作实践和职业鉴定等功能的整合，推动教、学、做的统一，实现学习过程与工作过程同步，实习与就业一体。三是学校积极开展专业设置调研，定期走访企业，对企业用工需求和岗位技能标准新变化展开调研，主动征询毕业生就业单位对技能人才的培养意见，为专业设置、人才培养质量提供可靠依据。</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1.6技能大赛</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2022年学校有26名学生参加了陕西省技能大赛14个项目的比赛，有9名同学获二、三等奖。其中舞蹈表演项目张涵颖同学荣获省级二等奖；刘冰、朱旭阳、卫博宁、白家辉等9名同学分别在工程测量、网络安全、导游、酒店服务、模特表演荣获三等奖，获奖格次和人数较2020年有所下降。</w:t>
      </w:r>
    </w:p>
    <w:tbl>
      <w:tblPr>
        <w:tblStyle w:val="14"/>
        <w:tblpPr w:leftFromText="180" w:rightFromText="180" w:vertAnchor="text" w:horzAnchor="page" w:tblpX="1856" w:tblpY="224"/>
        <w:tblOverlap w:val="never"/>
        <w:tblW w:w="84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65"/>
        <w:gridCol w:w="1532"/>
        <w:gridCol w:w="1397"/>
        <w:gridCol w:w="1465"/>
        <w:gridCol w:w="1706"/>
        <w:gridCol w:w="15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0" w:hRule="atLeast"/>
        </w:trPr>
        <w:tc>
          <w:tcPr>
            <w:tcW w:w="8440" w:type="dxa"/>
            <w:gridSpan w:val="6"/>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楷体_GB2312" w:hAnsi="楷体_GB2312" w:eastAsia="楷体_GB2312" w:cs="楷体_GB2312"/>
                <w:b w:val="0"/>
                <w:bCs w:val="0"/>
                <w:kern w:val="2"/>
                <w:sz w:val="32"/>
                <w:szCs w:val="32"/>
                <w:lang w:val="en-US" w:eastAsia="zh-CN" w:bidi="ar-SA"/>
              </w:rPr>
              <w:t>表6 2022年陕西省技能大赛获奖学生名单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序号</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参赛项目</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学生人数</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学生姓名</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指导教师</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958"/>
                <w:tab w:val="left" w:pos="1078"/>
              </w:tabs>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获奖结果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5"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舞蹈表演</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1人</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张涵颖</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 xml:space="preserve">李小利 </w:t>
            </w:r>
          </w:p>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陈姜融  </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二等奖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5"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导游</w:t>
            </w:r>
          </w:p>
        </w:tc>
        <w:tc>
          <w:tcPr>
            <w:tcW w:w="13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1人</w:t>
            </w:r>
          </w:p>
        </w:tc>
        <w:tc>
          <w:tcPr>
            <w:tcW w:w="14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吉佳瑶</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王红莉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卜延侠</w:t>
            </w:r>
          </w:p>
        </w:tc>
        <w:tc>
          <w:tcPr>
            <w:tcW w:w="15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三等奖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5"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3</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酒店服务</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2人</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刘鑫玉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李敏</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梁晓剑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卫芊倩</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三等奖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4</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模特表演</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1人</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宁静怡</w:t>
            </w:r>
          </w:p>
        </w:tc>
        <w:tc>
          <w:tcPr>
            <w:tcW w:w="17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王红莉</w:t>
            </w:r>
          </w:p>
        </w:tc>
        <w:tc>
          <w:tcPr>
            <w:tcW w:w="15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三等奖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49" w:hRule="atLeast"/>
        </w:trPr>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5</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工程测量</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4人</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刘冰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 xml:space="preserve">朱旭阳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 xml:space="preserve">卫博宁 </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白家辉</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樊永亮</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三等奖</w:t>
            </w:r>
          </w:p>
        </w:tc>
      </w:tr>
    </w:tbl>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bookmarkStart w:id="8" w:name="_Toc7703"/>
      <w:r>
        <w:rPr>
          <w:rFonts w:hint="eastAsia" w:ascii="Times New Roman" w:hAnsi="Times New Roman" w:eastAsia="仿宋_GB2312" w:cs="Times New Roman"/>
          <w:b/>
          <w:bCs/>
          <w:i w:val="0"/>
          <w:iCs w:val="0"/>
          <w:color w:val="auto"/>
          <w:sz w:val="32"/>
          <w:szCs w:val="32"/>
          <w:lang w:val="en-US" w:eastAsia="zh-CN"/>
        </w:rPr>
        <w:t>2 教育教学质量</w:t>
      </w:r>
      <w:bookmarkEnd w:id="8"/>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2.1专业建设质量</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专业建设上，通过陕西省高水平示范校项目建设，对汽车运用与维修，幼儿保育，高星级饭店运营与管理，计算机应用四个专业的教学模式进行改革、实训教学条件进行提升，其中汽车运用与维修和幼儿保育专业的师资队伍、专业实训条件已经通过渭南市精品专业验收。</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1.调整优化专业结构</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围绕“提质培优，高质量发展”为主题，深化落实“量质并进、以质为先”，持续突破重点难点，结合韩城市经济发展，定期开展专业调研和举行专业建设调研总结，逐步形成紧扣主题、重点突出、特色鲜明、共建共享的专业发展格局。</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2.深入行业企业，扎实开展调研工作</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招生安置办公室牵头，联合学校各职能部门深入对接同类中、高职院校、行业企业、人才市场，针对行业发展前景、企业人才需求、其他院校专业布局、专业亮点、毕业生升学就业等要素，通过现场调研、电话访谈等方式扎实有效开展调研工作，对重点环节进行全面信息汇总分析，制定可行性实施方案。</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3.依靠特色优势专业，实现高质量发展</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根据在校生规模及专业发展远景，优化通信技术、新能源汽车检测与维修专业，增设会计事务专业，通过校企合作、联合办学、专业共建等途径，在全校打造精品专业新高地。</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4.打造品牌特色专业</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以提高人才质量为目标、以人才培养模式改革与创新为主体，以推动计算机应用、机电一体化行业人才知识储备、综合素养、能力要求，通过2—3年努力，将学校计算机应用、机电一体化专业建设成理论基础适度、专业实践技能强，知识面宽的特色精品专业。</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2.2课程建设质量</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落实立德树人的根本任务，把思政课程和课程思政放在课程建设的首要位置，突出学生的思想政治教育，同时按照各专业人才培养目标，提取典型工作任务，将岗位能力转化为知识能力和技术能力，根据两种能力构建课程体系，同时按照教育部《关于职业院校修订人才培养方案的指导意见》完善课程体系建设，形成了公共基础课+专业基础课+专业核心课+专业技能课的课程体系。在教学实施过程，公共基础课严格按照教育部《10门公共基础课课程标准》开展教学，突出学生核心素养培养；专业课开设按照服务专业技能，以实用够用为原则，制定相关课程标准，并依据课程标准实施专业课教学。</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2.3教学方法改革</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学校以培养学生的综合职业能力为目标 ，以服务学生发展为导向，不断深化教学模式改革，积极推行以项目教学、理实一体化教学、案例教学的教学模式。</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以项目引领、任务驱动为主线，创新教学内容和表现形式，激发学生主动参与、自主协作、探索创新。</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推行理实一体化教学。充分利用校内实训基地、理实一体化教室，进行“教中做、做中学、学中思”的理实一体化教学。同时组织学生经常参加不同层次的技能比赛及类似的教学实践活动，加快学生技能水平的提高。</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推行案例教学。借助校外合作企业优势，开展现场体验，并指导学生分析研究，将理论知识与实践操作有机结合，从而提高学生分析问题、解决问题的能力。同时学校教室都接入智慧黑板，鼓励教师借助网络资源开展教学，提高课堂教学效益和课堂吸引力。</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2.4教材建设质量</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为做好教材建设与管理工作，学校严格落实中、省、市有关文件精神，按照《职业院校教材管理办法》成立了教材选用委员会、课外读物（图书）管理委员会，健全学校教材、教辅、课外读物管理制度，明确人员职责。</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教材选用，严格执行陕教材办〔2022〕14号文件精神，思想政治、语文、历史使用统编教材，公共基础课优先选用高等教育出版社教材。文化素养课严格从国规教材库中选用，专业课教材从职业院校教材信息库中优先选用“十三五”规划教材和已经出版的十四五规划教材。</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2.5数字化教学资源建设</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学校互联网出口带宽达到千兆。建有覆盖办公区的校园无线网络，学生用计算机数量每百生20 台，教师用计算机数量每人1 台。</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校园网拥有独立的域名、网站，一卡通管理系统、学校建立有微信公众号，实时发布相关信息。学校建有平面设计专业实训室、汽车运用维修实训中心、工业机器人实习室、数字化体验、录播教室、校园广播电视台、10个计算机机房、2个电子图书室等，70余个教室均配备有多媒体教学一体机设备。</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2.6师资队伍建设</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坚持“请进来、送出去、下企业、进高校”师资队伍建设思路，多措并举打造“双师型”教师队伍，以全面提高师资队伍素质为中心，以培养教师团队的德育工作、信息化应用、专业实践能力为重点，制定合理的师资队伍建设方案和专业带头人、骨干教师企业实践制度，建成一支数量足够、专兼结合、结构合理、素质优良的教学团队。一年来累计组织205名教师参加了省级公益课网络线上培训、省级国培项目线上线下培训、教师信息技术应用能力等培训。</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学校通过开展推门听课、开展观摩课、示范课、组内听课等教学活动示范引领、人人参与、百花齐放，促进教师教学能力提升。</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坚持名师引领，以“名校+、名校长+、名师+”发展共同体工作为抓手，先后制定印发了《韩城职专挂牌校长工作方案》《韩城职专名师+共同体工作方案》《韩城职专名师认定标准》等5个制度文件，组建了骨干教师、教科研、实训教学、文化课教学、班主任5个“名师+共同体”，认定了许阳、曹海峰等8名校级名师。</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坚持以赛促提升，通过参加各类比赛，教师荣获市级以上荣誉100人次。有4名教师被评为渭南市教学能手。2022年1名荣获省级班主任能力大赛二等奖；在2021年陕西省职业院校微课程教学设计比赛中，10名教师的作品获得省级二、三等奖；在2022年渭南市中职学校教师教学能力比赛中，在渭南市中职学校教师教学能力比赛中，7个团队获得一等奖2个，二等奖2个，三等奖4个；2021年度渭南市思政课“大练兵”，学校周瑶同志荣获中职学校思政课程“教学标兵”。在2021年陕西省职业院校微课程教学设计比赛中，6名教师的2个作品获得省级二等奖；4名教师个人作品获得省级三等奖。6名英语教师组成的英语教学团队赴眉县参加了全省中职英语教研中心组年会教研活动，并进行了公开示范课展示。有38个论文被市教研室推荐参加陕西省第十六次优秀教科研论文和成果评选活动。</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2.7校企双元育人</w:t>
      </w:r>
    </w:p>
    <w:p>
      <w:pPr>
        <w:ind w:firstLine="640" w:firstLineChars="20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致力于拓宽校企合作渠道和范围，创新校企合作模式，建立校内外实训基地，为各专业学生建立了良好的实习实训平台和就业渠道。通过订单培养、校内外实训基地建设、校企共建的方式，建立校内外实训基地65个。顺应地区经济社会发展趋势、紧扣企业人才技能及素质要求，积极探索、大胆实践，灵活选择多种校企合作模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订单式”人才培养模式，是指作为培养方的企事业单位针对社会和市场需求共同制定人才培养计划，签订用人订单，并在师资、技术、办学条件等方面合作，通过“工学交替”的方式分别在学校和用人单位进行教学，学生毕业后直接到用人单位就业的一种产学研结合人才培养模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2.5+0.5”人才培养模式，是我国中等职业教育人才培养的一种变革，是产学研合作教育的重要载体。具体讲就是三年学制前两年半在学校组织，后半年在企业进行。校内教学以理论课为主，辅之以实验、实习等实践性教学环节。</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“工学交替”人才培养模式，是一种学校与企业共同制定人才培养方案， 企业和学校有机地结合在一起， 教师的教学场所和学生的学习场所由学校延伸到企业，学生到企业生产实践与在学校学习相互交替，学用紧密结合的合作教育模式。</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bookmarkStart w:id="9" w:name="_Toc4767"/>
      <w:r>
        <w:rPr>
          <w:rFonts w:hint="eastAsia" w:ascii="Times New Roman" w:hAnsi="Times New Roman" w:eastAsia="仿宋_GB2312" w:cs="Times New Roman"/>
          <w:b/>
          <w:bCs/>
          <w:i w:val="0"/>
          <w:iCs w:val="0"/>
          <w:color w:val="auto"/>
          <w:sz w:val="32"/>
          <w:szCs w:val="32"/>
          <w:lang w:val="en-US" w:eastAsia="zh-CN"/>
        </w:rPr>
        <w:t>3 国际合作质量</w:t>
      </w:r>
      <w:bookmarkEnd w:id="9"/>
    </w:p>
    <w:p>
      <w:pPr>
        <w:ind w:firstLine="643" w:firstLineChars="200"/>
        <w:rPr>
          <w:rFonts w:hint="default"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3.1 留学生培养质量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近两年因疫情影响，国际合作项目暂未开展。</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3.2 合作办学质量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校内外实训基地。校内建有汽修专业实训中心、学前教育专业实训中心、建筑专业实训中心、机电专业实训中心、微机室、旅游与酒管专业、中餐烹饪专业操作室等各类实验实训室93个。为加大各专业学生实训课时量，突出实训教学，提升学生专业技能提供平台，学校与韩城市晨钟建筑公司、韩城市银辉汽贸城、陕西黄河矿业集团有限公司、格兰云天大酒店、黄河明珠大酒店、韩城职专附属幼儿园、韩城市旅游发展委员会、陕西黑猫焦化股份有限公司，与中嘉智业电梯有限公司签订校企合作协议，将合作共建机电技术应用专业，培养电梯安装与维修保养方向人才。与中电协（北京）电子商务技术研究院签订合作协议，就新能源汽车检测与维修、工业机器人技术应用、会计事务3个专业实训室建设、开展人才培养、专业共建、实习实训等方面合作，目前校企合作实训室建设方案已经确定，实训室设备已经定制，实训室建设正在推进中。</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校企共建。学校积极与韩城众瑞一汽大众4s店、韩城职专附属幼儿园合作共建汽车运用与维修专业、学前教育专业实训基地，实现了两个专业的无缝对接，加深了校企双方关于专业设置更新、企业文化融入等方面的交流和沟通，实现校企双赢。学校与韩城市人民艺术剧院有限公司共建社会文化艺术专业实训基地；与中嘉智业电梯有限公司签订校企合作协议。</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岗位实习。学校认真落实《职业院校实习管理规定》文件精神，分批次送出幼儿保育专业、中餐专业、旅游酒管专业200多名学生到西安哈尼熊教育科技有限责任公司、西安诺世嘉顿酒店、西安曲江惠宾苑宾馆有限公司进行岗位实习，工资待遇均在3000元左右，在西安哈尼熊教育科技有限责任公司等多家企业岗位实习的学生，企业评价比较好，通过岗位实习活动的开展，为学生的就业打下了坚实基础，进一步缩小了校企无缝对接的距离。</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年来，各专业学生的实习实训量不断加大，专业技能不断加强，在省市各类技能大赛中崭露头角，学生获奖率逐年提升，毕业生也深受用人单位欢迎，岗位实习学生基本能顺利就业，同时吸引了更多的企业与学校进行合作。</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技术技能人才培养。通过与用人单位和在岗学生的座谈、实地走访和电话回访，跟踪调查，了解到大部分毕业生对工资、福利待遇感到较为满意，满意度达96.64%。回访显示，在西安诺世嘉顿酒店就业的学生他们岗位实习期最低月薪达2500元，毕业后首次就业最低月薪3300-4000元，外出学生的就业相对稳固，基本实现了高薪就业的目的；相比，在本地就业的学生工资相对较低，月工资2000多元，这与近年国内外经济下滑，区域经济转型升级及产业结构调整、疫情等诸多因素有关。</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毕业生通过在校扎实的技能训练和企业一年的岗位实习，均能胜任自己的工作岗位，部分学生还成为了技术能手，他们较强的实操能力、勤恳的工作态度、高度负责的敬业精神，得到了用人单位的充分肯定和赞誉，为校企深度合作奠定了良好的基础，基本达到了“学生满意，家长满意，用人单位满意”的“三满意”目标，初步实现了就业安置工作的良性循环。</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3.3开发标准质量</w:t>
      </w:r>
    </w:p>
    <w:p>
      <w:pPr>
        <w:ind w:firstLine="640"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仿宋_GB2312" w:hAnsi="仿宋_GB2312" w:eastAsia="仿宋_GB2312" w:cs="仿宋_GB2312"/>
          <w:kern w:val="2"/>
          <w:sz w:val="32"/>
          <w:szCs w:val="32"/>
          <w:lang w:val="en-US" w:eastAsia="zh-CN" w:bidi="ar-SA"/>
        </w:rPr>
        <w:t>学校未开发标准质量。</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3.4国（境）外独立办学质量</w:t>
      </w:r>
    </w:p>
    <w:p>
      <w:pPr>
        <w:ind w:firstLine="640"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仿宋_GB2312" w:hAnsi="仿宋_GB2312" w:eastAsia="仿宋_GB2312" w:cs="仿宋_GB2312"/>
          <w:kern w:val="2"/>
          <w:sz w:val="32"/>
          <w:szCs w:val="32"/>
          <w:lang w:val="en-US" w:eastAsia="zh-CN" w:bidi="ar-SA"/>
        </w:rPr>
        <w:t>近两年因疫情影响，暂未开展。</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3.5助力“一带一路”建设质量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b/>
          <w:bCs/>
          <w:i w:val="0"/>
          <w:iCs w:val="0"/>
          <w:color w:val="auto"/>
          <w:sz w:val="32"/>
          <w:szCs w:val="32"/>
          <w:lang w:val="en-US" w:eastAsia="zh-CN"/>
        </w:rPr>
      </w:pPr>
      <w:r>
        <w:rPr>
          <w:rFonts w:hint="eastAsia" w:ascii="仿宋_GB2312" w:hAnsi="仿宋_GB2312" w:eastAsia="仿宋_GB2312" w:cs="仿宋_GB2312"/>
          <w:kern w:val="2"/>
          <w:sz w:val="32"/>
          <w:szCs w:val="32"/>
          <w:lang w:val="en-US" w:eastAsia="zh-CN" w:bidi="ar-SA"/>
        </w:rPr>
        <w:t>近两年因疫情影响，暂未开展。</w:t>
      </w:r>
    </w:p>
    <w:p>
      <w:pPr>
        <w:ind w:firstLine="643" w:firstLineChars="200"/>
        <w:outlineLvl w:val="0"/>
        <w:rPr>
          <w:rFonts w:hint="default"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3.6提升学生国际化素养质量</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b/>
          <w:bCs/>
          <w:i w:val="0"/>
          <w:iCs w:val="0"/>
          <w:color w:val="auto"/>
          <w:sz w:val="32"/>
          <w:szCs w:val="32"/>
          <w:lang w:val="en-US" w:eastAsia="zh-CN"/>
        </w:rPr>
      </w:pPr>
      <w:bookmarkStart w:id="10" w:name="_Toc30382"/>
      <w:r>
        <w:rPr>
          <w:rFonts w:hint="eastAsia" w:ascii="仿宋_GB2312" w:hAnsi="仿宋_GB2312" w:eastAsia="仿宋_GB2312" w:cs="仿宋_GB2312"/>
          <w:kern w:val="2"/>
          <w:sz w:val="32"/>
          <w:szCs w:val="32"/>
          <w:lang w:val="en-US" w:eastAsia="zh-CN" w:bidi="ar-SA"/>
        </w:rPr>
        <w:t>近两年因疫情影响，暂未开展。</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 服务贡献质量</w:t>
      </w:r>
      <w:bookmarkEnd w:id="10"/>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坚持以服务社会为导向，注重内涵发展、质量发展，坚持“德能双优”育人目标，以培养高素质技能型人才，为行业、企业和就业重点人群等提供技术性服务，促进劳动者提高职业技能、增强就业能力和创业能力等为宗旨，积极开展职业教育和培训工作。</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近年来，学校在各级政府的大力支持下，依据韩城区域经济发展需求，围绕支柱产业和优势产业，坚持改革办学模式，科学设置专业，不断创新培训思路，丰富培训形式，进一步拓宽成人教育和社会培训范围，提升学校社会服务能力。2022年度，先后开展各级各类培训20余期，约2534人。</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4.1 服务行业企业</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学校分别面向陕西中汇煤化有限公司和陕西海燕焦化（集团）有限公司两个企业的在职员工开展了四期电工和机修钳工职业技能提升培训，共计培训210人。</w:t>
      </w:r>
    </w:p>
    <w:p>
      <w:pPr>
        <w:pStyle w:val="2"/>
        <w:ind w:left="0" w:leftChars="0" w:firstLine="0" w:firstLineChars="0"/>
        <w:rPr>
          <w:rFonts w:hint="eastAsia" w:ascii="仿宋_GB2312" w:hAnsi="仿宋_GB2312" w:eastAsia="仿宋_GB2312" w:cs="仿宋_GB2312"/>
          <w:b/>
          <w:bCs/>
          <w:sz w:val="32"/>
          <w:szCs w:val="32"/>
          <w:lang w:val="en-US" w:eastAsia="zh-CN"/>
        </w:rPr>
      </w:pPr>
      <w:r>
        <w:rPr>
          <w:rFonts w:hint="eastAsia" w:ascii="仿宋_GB2312" w:hAnsi="仿宋_GB2312" w:eastAsia="仿宋_GB2312" w:cs="仿宋_GB2312"/>
          <w:b/>
          <w:bCs/>
          <w:sz w:val="32"/>
          <w:szCs w:val="32"/>
          <w:lang w:val="en-US" w:eastAsia="zh-CN"/>
        </w:rPr>
        <w:t>【案例2】职业技能提升行动：工厂里的课堂</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为了帮助劳动者提升素质、适应岗位需求和发展需要，保持就业稳定，努力推进建设知识型、技能型劳动者大军，着力培养企业急需紧缺的技能人才，自2021年5月27日开始，学校分别面向陕西中汇煤化有限公司和陕西海燕焦化（集团）有限公司的企业在职员工先后开展了电工、机修钳工职业技能提升培训。</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结合企业与员工的培训需求，学校聘请专业的培训教师、制定详实的培训计划，并将培训课堂设置在工厂，使培训工作更有针对性、实用性和有效性。</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电工中级工培训共计224课时，其中，理论知识培训96课时，实操技能培训128课时；机修钳工培训共计245课时，其中，理论知识培训105课时，实操技能培训140课时。根据培训计划和安排，理论知识培训在工厂会议室内由培训老师统一授课；实操技能培训在工厂车间、工段（工位）等现场进行，一是针对讲授内容进行实操训练，二是为员工解决实际生产过程中遇到各类问题、难题等。</w:t>
      </w:r>
    </w:p>
    <w:p>
      <w:pPr>
        <w:keepNext w:val="0"/>
        <w:keepLines w:val="0"/>
        <w:pageBreakBefore w:val="0"/>
        <w:kinsoku/>
        <w:overflowPunct/>
        <w:topLinePunct w:val="0"/>
        <w:autoSpaceDE/>
        <w:autoSpaceDN/>
        <w:bidi w:val="0"/>
        <w:adjustRightInd/>
        <w:snapToGrid/>
        <w:spacing w:line="480" w:lineRule="auto"/>
        <w:jc w:val="both"/>
        <w:textAlignment w:val="auto"/>
        <w:outlineLvl w:val="9"/>
        <w:rPr>
          <w:rFonts w:hint="default" w:ascii="仿宋" w:hAnsi="仿宋" w:eastAsia="仿宋" w:cs="仿宋"/>
          <w:b w:val="0"/>
          <w:bCs/>
          <w:sz w:val="28"/>
          <w:szCs w:val="28"/>
          <w:lang w:val="en-US" w:eastAsia="zh-CN"/>
        </w:rPr>
      </w:pPr>
      <w:r>
        <w:rPr>
          <w:rFonts w:hint="default" w:ascii="仿宋" w:hAnsi="仿宋" w:eastAsia="仿宋" w:cs="仿宋"/>
          <w:b w:val="0"/>
          <w:bCs/>
          <w:sz w:val="28"/>
          <w:szCs w:val="28"/>
          <w:lang w:val="en-US" w:eastAsia="zh-CN"/>
        </w:rPr>
        <w:drawing>
          <wp:inline distT="0" distB="0" distL="114300" distR="114300">
            <wp:extent cx="2694940" cy="2021840"/>
            <wp:effectExtent l="0" t="0" r="10160" b="16510"/>
            <wp:docPr id="76" name="图片 76" descr="微信图片_2021053115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微信图片_202105311518492"/>
                    <pic:cNvPicPr>
                      <a:picLocks noChangeAspect="1"/>
                    </pic:cNvPicPr>
                  </pic:nvPicPr>
                  <pic:blipFill>
                    <a:blip r:embed="rId30">
                      <a:lum bright="6000"/>
                    </a:blip>
                    <a:stretch>
                      <a:fillRect/>
                    </a:stretch>
                  </pic:blipFill>
                  <pic:spPr>
                    <a:xfrm>
                      <a:off x="0" y="0"/>
                      <a:ext cx="2694940" cy="2021840"/>
                    </a:xfrm>
                    <a:prstGeom prst="rect">
                      <a:avLst/>
                    </a:prstGeom>
                  </pic:spPr>
                </pic:pic>
              </a:graphicData>
            </a:graphic>
          </wp:inline>
        </w:drawing>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4"/>
          <w:szCs w:val="24"/>
          <w:lang w:val="en-US" w:eastAsia="zh-CN"/>
        </w:rPr>
        <w:drawing>
          <wp:inline distT="0" distB="0" distL="114300" distR="114300">
            <wp:extent cx="2145665" cy="2861945"/>
            <wp:effectExtent l="0" t="0" r="6985" b="14605"/>
            <wp:docPr id="77" name="图片 77" descr="电工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电工 (9)"/>
                    <pic:cNvPicPr>
                      <a:picLocks noChangeAspect="1"/>
                    </pic:cNvPicPr>
                  </pic:nvPicPr>
                  <pic:blipFill>
                    <a:blip r:embed="rId31"/>
                    <a:stretch>
                      <a:fillRect/>
                    </a:stretch>
                  </pic:blipFill>
                  <pic:spPr>
                    <a:xfrm>
                      <a:off x="0" y="0"/>
                      <a:ext cx="2145665" cy="2861945"/>
                    </a:xfrm>
                    <a:prstGeom prst="rect">
                      <a:avLst/>
                    </a:prstGeom>
                  </pic:spPr>
                </pic:pic>
              </a:graphicData>
            </a:graphic>
          </wp:inline>
        </w:drawing>
      </w:r>
    </w:p>
    <w:p>
      <w:pPr>
        <w:keepNext w:val="0"/>
        <w:keepLines w:val="0"/>
        <w:pageBreakBefore w:val="0"/>
        <w:kinsoku/>
        <w:overflowPunct/>
        <w:topLinePunct w:val="0"/>
        <w:autoSpaceDE/>
        <w:autoSpaceDN/>
        <w:bidi w:val="0"/>
        <w:adjustRightInd/>
        <w:snapToGrid/>
        <w:spacing w:line="600" w:lineRule="exact"/>
        <w:jc w:val="both"/>
        <w:textAlignment w:val="auto"/>
        <w:outlineLvl w:val="1"/>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图25 中汇煤化公司理论培训</w:t>
      </w:r>
      <w:r>
        <w:rPr>
          <w:rFonts w:hint="eastAsia" w:ascii="仿宋" w:hAnsi="仿宋" w:eastAsia="仿宋" w:cs="仿宋"/>
          <w:b w:val="0"/>
          <w:bCs/>
          <w:sz w:val="24"/>
          <w:szCs w:val="24"/>
          <w:lang w:val="en-US" w:eastAsia="zh-CN"/>
        </w:rPr>
        <w:t xml:space="preserve">   </w:t>
      </w:r>
      <w:r>
        <w:rPr>
          <w:rFonts w:hint="eastAsia" w:ascii="楷体_GB2312" w:hAnsi="楷体_GB2312" w:eastAsia="楷体_GB2312" w:cs="楷体_GB2312"/>
          <w:b w:val="0"/>
          <w:bCs w:val="0"/>
          <w:kern w:val="2"/>
          <w:sz w:val="32"/>
          <w:szCs w:val="32"/>
          <w:lang w:val="en-US" w:eastAsia="zh-CN" w:bidi="ar-SA"/>
        </w:rPr>
        <w:t>图26 中汇煤化公司实操培训</w:t>
      </w:r>
    </w:p>
    <w:p>
      <w:pPr>
        <w:keepNext w:val="0"/>
        <w:keepLines w:val="0"/>
        <w:pageBreakBefore w:val="0"/>
        <w:kinsoku/>
        <w:overflowPunct/>
        <w:topLinePunct w:val="0"/>
        <w:autoSpaceDE/>
        <w:autoSpaceDN/>
        <w:bidi w:val="0"/>
        <w:adjustRightInd/>
        <w:snapToGrid/>
        <w:spacing w:line="480" w:lineRule="auto"/>
        <w:jc w:val="both"/>
        <w:textAlignment w:val="auto"/>
        <w:outlineLvl w:val="9"/>
        <w:rPr>
          <w:rFonts w:hint="default" w:ascii="仿宋" w:hAnsi="仿宋" w:eastAsia="仿宋" w:cs="仿宋"/>
          <w:b w:val="0"/>
          <w:bCs/>
          <w:sz w:val="24"/>
          <w:szCs w:val="24"/>
          <w:lang w:val="en-US" w:eastAsia="zh-CN"/>
        </w:rPr>
      </w:pPr>
      <w:r>
        <w:rPr>
          <w:rFonts w:hint="default" w:ascii="仿宋" w:hAnsi="仿宋" w:eastAsia="仿宋" w:cs="仿宋"/>
          <w:b w:val="0"/>
          <w:bCs/>
          <w:sz w:val="24"/>
          <w:szCs w:val="24"/>
          <w:lang w:val="en-US" w:eastAsia="zh-CN"/>
        </w:rPr>
        <w:drawing>
          <wp:inline distT="0" distB="0" distL="114300" distR="114300">
            <wp:extent cx="2738120" cy="2053590"/>
            <wp:effectExtent l="0" t="0" r="5080" b="3810"/>
            <wp:docPr id="78" name="图片 78" descr="0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01 (15)"/>
                    <pic:cNvPicPr>
                      <a:picLocks noChangeAspect="1"/>
                    </pic:cNvPicPr>
                  </pic:nvPicPr>
                  <pic:blipFill>
                    <a:blip r:embed="rId32"/>
                    <a:stretch>
                      <a:fillRect/>
                    </a:stretch>
                  </pic:blipFill>
                  <pic:spPr>
                    <a:xfrm>
                      <a:off x="0" y="0"/>
                      <a:ext cx="2738120" cy="2053590"/>
                    </a:xfrm>
                    <a:prstGeom prst="rect">
                      <a:avLst/>
                    </a:prstGeom>
                  </pic:spPr>
                </pic:pic>
              </a:graphicData>
            </a:graphic>
          </wp:inline>
        </w:drawing>
      </w:r>
      <w:r>
        <w:rPr>
          <w:rFonts w:hint="default" w:ascii="仿宋" w:hAnsi="仿宋" w:eastAsia="仿宋" w:cs="仿宋"/>
          <w:b w:val="0"/>
          <w:bCs/>
          <w:sz w:val="24"/>
          <w:szCs w:val="24"/>
          <w:lang w:val="en-US" w:eastAsia="zh-CN"/>
        </w:rPr>
        <w:drawing>
          <wp:inline distT="0" distB="0" distL="114300" distR="114300">
            <wp:extent cx="2814320" cy="2097405"/>
            <wp:effectExtent l="0" t="0" r="5080" b="17145"/>
            <wp:docPr id="79" name="图片 79" descr="1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1 (64)"/>
                    <pic:cNvPicPr>
                      <a:picLocks noChangeAspect="1"/>
                    </pic:cNvPicPr>
                  </pic:nvPicPr>
                  <pic:blipFill>
                    <a:blip r:embed="rId33"/>
                    <a:srcRect l="6815" t="6219" r="5630" b="44869"/>
                    <a:stretch>
                      <a:fillRect/>
                    </a:stretch>
                  </pic:blipFill>
                  <pic:spPr>
                    <a:xfrm>
                      <a:off x="0" y="0"/>
                      <a:ext cx="2814320" cy="2097405"/>
                    </a:xfrm>
                    <a:prstGeom prst="rect">
                      <a:avLst/>
                    </a:prstGeom>
                  </pic:spPr>
                </pic:pic>
              </a:graphicData>
            </a:graphic>
          </wp:inline>
        </w:drawing>
      </w:r>
    </w:p>
    <w:p>
      <w:pPr>
        <w:keepNext w:val="0"/>
        <w:keepLines w:val="0"/>
        <w:pageBreakBefore w:val="0"/>
        <w:kinsoku/>
        <w:overflowPunct/>
        <w:topLinePunct w:val="0"/>
        <w:autoSpaceDE/>
        <w:autoSpaceDN/>
        <w:bidi w:val="0"/>
        <w:adjustRightInd/>
        <w:snapToGrid/>
        <w:spacing w:line="480" w:lineRule="auto"/>
        <w:jc w:val="both"/>
        <w:textAlignment w:val="auto"/>
        <w:outlineLvl w:val="1"/>
        <w:rPr>
          <w:rFonts w:hint="eastAsia" w:ascii="仿宋" w:hAnsi="仿宋" w:eastAsia="仿宋" w:cs="仿宋"/>
          <w:b w:val="0"/>
          <w:bCs/>
          <w:sz w:val="24"/>
          <w:szCs w:val="24"/>
          <w:lang w:val="en-US" w:eastAsia="zh-CN"/>
        </w:rPr>
      </w:pPr>
      <w:r>
        <w:rPr>
          <w:rFonts w:hint="eastAsia" w:ascii="楷体_GB2312" w:hAnsi="楷体_GB2312" w:eastAsia="楷体_GB2312" w:cs="楷体_GB2312"/>
          <w:b w:val="0"/>
          <w:bCs w:val="0"/>
          <w:kern w:val="2"/>
          <w:sz w:val="32"/>
          <w:szCs w:val="32"/>
          <w:lang w:val="en-US" w:eastAsia="zh-CN" w:bidi="ar-SA"/>
        </w:rPr>
        <w:t xml:space="preserve">图27 海燕焦化公司理论培训 </w:t>
      </w:r>
      <w:r>
        <w:rPr>
          <w:rFonts w:hint="eastAsia" w:ascii="仿宋" w:hAnsi="仿宋" w:eastAsia="仿宋" w:cs="仿宋"/>
          <w:b w:val="0"/>
          <w:bCs/>
          <w:sz w:val="24"/>
          <w:szCs w:val="24"/>
          <w:lang w:val="en-US" w:eastAsia="zh-CN"/>
        </w:rPr>
        <w:t xml:space="preserve">   </w:t>
      </w:r>
      <w:r>
        <w:rPr>
          <w:rFonts w:hint="eastAsia" w:ascii="楷体_GB2312" w:hAnsi="楷体_GB2312" w:eastAsia="楷体_GB2312" w:cs="楷体_GB2312"/>
          <w:b w:val="0"/>
          <w:bCs w:val="0"/>
          <w:kern w:val="2"/>
          <w:sz w:val="32"/>
          <w:szCs w:val="32"/>
          <w:lang w:val="en-US" w:eastAsia="zh-CN" w:bidi="ar-SA"/>
        </w:rPr>
        <w:t xml:space="preserve"> 图28 海燕焦化公司实操培训</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培训教师运用严谨、精准，同时又不失趣味的语言和方式对培训内容进行了细致、专业的讲解，而且毫无保留地将自己四十多年来积累的工作经验一一传授给了青年员工们。</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员工培训是企业持续发展的力量源泉，是企业生存和发展的内在需求。此项培训，在学校的统筹规划、改革创新、按需施训、务求实效的原则下，我们通过送培训进企业的方式，既提高了员工们的技术技能、职业素养和综合素质，也增强了企业发展、盈利能力，实现了企业和员工双赢。</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4.2 服务地方发展</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学校借助自身师资、设备、场地等多方面优势，与人社、税务、退役军人事务局等部门联合开展了2022年韩城市事业单位工勤技能岗位考试、陕西省国税局数字人事两测考试和自主就业退役士兵职业教育和技能培训等工作，共计834人。</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2.与韩城市人社局、陕西诺悦光缘有限公司联合，面向2022年度毕业年度学生开展SYB创业培训共5期，合计720人参加培训。</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积极开展成人学历教育培训共。与陕西省财经职业技术学院联合，开展高职扩招学员学历教育提升工作，共有143人参加培训学习。同时结合韩城市文化旅游产业发展需求，与韩城市人民艺术剧院签订合作协议，积极开展社会艺术表演培训舞蹈、音乐、文化艺术课教育教学及实践培训，16名学员参加培训。</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4.3服务乡村振兴</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结合当前社会发展需要、韩城南片区村镇人口结构和就业需求，学校面向村里留守妇女开展养老护理员就业技能培训2期，共计培训194人。</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4.4服务地方社区</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学校未开展此项服务。</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4.5具有地域特色的服务</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学校未开展此项服务。</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4.6 具有本校特色的服务</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自2021年9月学校获批为陕西省首批职业技能等级认定社会评价组织认定机构以来，学校自上而下深入研究、建立健全制度保障、开展交流学习等活动，迅速推进、开展职业技能等级认定工作。2022年度，学校分别面向企业在职员工、中职毕业年度学生、就业重点群体和其他有需求的社会人士等开展了5期职业技能等级认定工作，共计认定486人，其中获证386人，获证率约为79.42%。</w:t>
      </w:r>
    </w:p>
    <w:p>
      <w:pPr>
        <w:pStyle w:val="2"/>
        <w:ind w:left="0" w:leftChars="0" w:firstLine="0" w:firstLineChars="0"/>
        <w:rPr>
          <w:rFonts w:hint="default" w:ascii="仿宋" w:hAnsi="仿宋" w:eastAsia="仿宋" w:cs="仿宋"/>
          <w:b/>
          <w:bCs w:val="0"/>
          <w:sz w:val="28"/>
          <w:szCs w:val="28"/>
          <w:lang w:val="en-US" w:eastAsia="zh-CN"/>
        </w:rPr>
      </w:pPr>
      <w:bookmarkStart w:id="11" w:name="_Toc22272"/>
      <w:r>
        <w:rPr>
          <w:rFonts w:hint="eastAsia" w:ascii="仿宋_GB2312" w:hAnsi="仿宋_GB2312" w:eastAsia="仿宋_GB2312" w:cs="仿宋_GB2312"/>
          <w:b/>
          <w:bCs/>
          <w:sz w:val="32"/>
          <w:szCs w:val="32"/>
          <w:lang w:val="en-US" w:eastAsia="zh-CN"/>
        </w:rPr>
        <w:t>【案例3】</w:t>
      </w:r>
      <w:bookmarkEnd w:id="11"/>
      <w:r>
        <w:rPr>
          <w:rFonts w:hint="eastAsia" w:ascii="仿宋_GB2312" w:hAnsi="仿宋_GB2312" w:eastAsia="仿宋_GB2312" w:cs="仿宋_GB2312"/>
          <w:b/>
          <w:bCs/>
          <w:sz w:val="32"/>
          <w:szCs w:val="32"/>
          <w:lang w:val="en-US" w:eastAsia="zh-CN"/>
        </w:rPr>
        <w:t>职业技能等级认定  助力技能人才发展</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2021年9月，学校获批陕西省首批职业技能等级认定社会评价组织认定机构。自此，学校始终严格坚持“谁用人、谁评价、谁发证、谁负责”的原则，勇担地方鉴定工作的重要职责，努力为服务当地经济社会发展和满足学生职业技能认定等需求做出自己应有的贡献。   </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前期，学校结合社会需求和学校实际，通过全面把握政策方向和路径，完善制度建设，严格评聘考评员和工作人员，规范、严肃考务环节，备齐配足考试考核设施设备等，本着“服务社会、程序规范、考评严谨”的原则，逐步开始推进职业技能等级认定工作。2022学年度共开展5批职业技能等级认定工作，认定453人、合格386人、获证率约85.21%。</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2021年10月26日—27日，学校面向陕西中汇煤化有限公司参加技能提升培训的员工们开展了2021年第一批职业技能等级认定工作，合计认定105人、合格93人。其中，机修钳工（四级/中级工）认定46人、合格40人；电工（四级/中级工）认定59人，合格53人。</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2021年12月1日—2日，学校面向陕西海燕焦化（集团）有限公司参加技能提升培训的员工们开展了2021年第二批职业技能等级认定工作，合计认定105人、合格97人。其中，机修钳工（四级/中级工）认定53人、合格49人；电工（四级/中级工）认定52人，合格48人。</w:t>
      </w:r>
    </w:p>
    <w:p>
      <w:pPr>
        <w:keepNext w:val="0"/>
        <w:keepLines w:val="0"/>
        <w:pageBreakBefore w:val="0"/>
        <w:kinsoku/>
        <w:overflowPunct/>
        <w:topLinePunct w:val="0"/>
        <w:autoSpaceDE/>
        <w:autoSpaceDN/>
        <w:bidi w:val="0"/>
        <w:adjustRightInd/>
        <w:snapToGrid/>
        <w:spacing w:line="480" w:lineRule="auto"/>
        <w:ind w:firstLine="560" w:firstLineChars="200"/>
        <w:jc w:val="center"/>
        <w:textAlignment w:val="auto"/>
        <w:outlineLvl w:val="9"/>
        <w:rPr>
          <w:rFonts w:hint="default" w:ascii="仿宋" w:hAnsi="仿宋" w:eastAsia="仿宋" w:cs="仿宋"/>
          <w:b w:val="0"/>
          <w:bCs/>
          <w:sz w:val="28"/>
          <w:szCs w:val="28"/>
          <w:lang w:val="en-US" w:eastAsia="zh-CN"/>
        </w:rPr>
      </w:pPr>
      <w:r>
        <w:rPr>
          <w:rFonts w:hint="default" w:ascii="仿宋" w:hAnsi="仿宋" w:eastAsia="仿宋" w:cs="仿宋"/>
          <w:b w:val="0"/>
          <w:bCs/>
          <w:sz w:val="28"/>
          <w:szCs w:val="28"/>
          <w:lang w:val="en-US" w:eastAsia="zh-CN"/>
        </w:rPr>
        <w:drawing>
          <wp:inline distT="0" distB="0" distL="114300" distR="114300">
            <wp:extent cx="4395470" cy="2059305"/>
            <wp:effectExtent l="0" t="0" r="5080" b="17145"/>
            <wp:docPr id="8" name="图片 8" descr="微信图片_202110281538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1102815381818"/>
                    <pic:cNvPicPr>
                      <a:picLocks noChangeAspect="1"/>
                    </pic:cNvPicPr>
                  </pic:nvPicPr>
                  <pic:blipFill>
                    <a:blip r:embed="rId34"/>
                    <a:srcRect t="11554" b="25997"/>
                    <a:stretch>
                      <a:fillRect/>
                    </a:stretch>
                  </pic:blipFill>
                  <pic:spPr>
                    <a:xfrm>
                      <a:off x="0" y="0"/>
                      <a:ext cx="4395470" cy="2059305"/>
                    </a:xfrm>
                    <a:prstGeom prst="rect">
                      <a:avLst/>
                    </a:prstGeom>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图29  企业员工电工（四级/中级工）实操技能考核</w:t>
      </w:r>
    </w:p>
    <w:p>
      <w:pPr>
        <w:keepNext w:val="0"/>
        <w:keepLines w:val="0"/>
        <w:pageBreakBefore w:val="0"/>
        <w:kinsoku/>
        <w:overflowPunct/>
        <w:topLinePunct w:val="0"/>
        <w:autoSpaceDE/>
        <w:autoSpaceDN/>
        <w:bidi w:val="0"/>
        <w:adjustRightInd/>
        <w:snapToGrid/>
        <w:spacing w:line="480" w:lineRule="auto"/>
        <w:ind w:firstLine="560" w:firstLineChars="200"/>
        <w:jc w:val="center"/>
        <w:textAlignment w:val="auto"/>
        <w:outlineLvl w:val="9"/>
        <w:rPr>
          <w:rFonts w:hint="default" w:ascii="仿宋" w:hAnsi="仿宋" w:eastAsia="仿宋" w:cs="仿宋"/>
          <w:b w:val="0"/>
          <w:bCs/>
          <w:sz w:val="28"/>
          <w:szCs w:val="28"/>
          <w:lang w:val="en-US" w:eastAsia="zh-CN"/>
        </w:rPr>
      </w:pPr>
      <w:r>
        <w:rPr>
          <w:rFonts w:hint="default" w:ascii="仿宋" w:hAnsi="仿宋" w:eastAsia="仿宋" w:cs="仿宋"/>
          <w:b w:val="0"/>
          <w:bCs/>
          <w:sz w:val="28"/>
          <w:szCs w:val="28"/>
          <w:lang w:val="en-US" w:eastAsia="zh-CN"/>
        </w:rPr>
        <w:drawing>
          <wp:inline distT="0" distB="0" distL="114300" distR="114300">
            <wp:extent cx="4384040" cy="3220720"/>
            <wp:effectExtent l="0" t="0" r="16510" b="17780"/>
            <wp:docPr id="10" name="图片 10" descr="微信图片_20211028151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110281512144"/>
                    <pic:cNvPicPr>
                      <a:picLocks noChangeAspect="1"/>
                    </pic:cNvPicPr>
                  </pic:nvPicPr>
                  <pic:blipFill>
                    <a:blip r:embed="rId35"/>
                    <a:srcRect t="2028"/>
                    <a:stretch>
                      <a:fillRect/>
                    </a:stretch>
                  </pic:blipFill>
                  <pic:spPr>
                    <a:xfrm>
                      <a:off x="0" y="0"/>
                      <a:ext cx="4384040" cy="3220720"/>
                    </a:xfrm>
                    <a:prstGeom prst="rect">
                      <a:avLst/>
                    </a:prstGeom>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图30  企业员工机修钳工（四级/中级工）实操技能考核</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2022年3月25日，学校面向毕业年度学生和社会人士开展了2022年第一批职业技能等级认定工作，合计认定139人、合格114人。其中，电工（四级/中级工）认定106人，合格90人；工程测量员（四级/中级工）认定21人，合格17人；中式烹调师（四级/中级工）认定12人，合格7人。</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2022年7月7日—8日，学校面向毕业年度学生和社会人士开展了2022年第二批职业技能等级认定工作，合计认定110人、合格67人。其中，客房服务员（四级/中级工）认定24人，合格13人；餐厅服务员（四级/中级工）认定8人，合格6人；汽车机械维修工（四级/中级工）认定4人，合格2人；电工（四级/中级工）认定53人，合格34人；工程测量员（四级/中级工）认定5人，合格1人；中式烹调师（四级/中级工）认定16人，合格11人。</w:t>
      </w:r>
    </w:p>
    <w:p>
      <w:pPr>
        <w:keepNext w:val="0"/>
        <w:keepLines w:val="0"/>
        <w:pageBreakBefore w:val="0"/>
        <w:widowControl w:val="0"/>
        <w:tabs>
          <w:tab w:val="left" w:pos="958"/>
          <w:tab w:val="left" w:pos="1078"/>
        </w:tabs>
        <w:kinsoku/>
        <w:wordWrap/>
        <w:overflowPunct/>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2022年9月2日，学校面向毕业年度补考学生和社会人士开展了2022年第三批职业技能等级认定工作，合计认定27人、合格15人。其中，客房服务员（四级/中级工）认定10人，合格5人；餐厅服务员（四级/中级工）认定2人，合格2人；汽车机械维修工（四级/中级工）认定2人，合格1人；电工（四级/中级工）认定9人，合格6人；中式烹调师（四级/中级工）认定4人，合格1人。</w:t>
      </w:r>
    </w:p>
    <w:p>
      <w:pPr>
        <w:keepNext w:val="0"/>
        <w:keepLines w:val="0"/>
        <w:pageBreakBefore w:val="0"/>
        <w:kinsoku/>
        <w:overflowPunct/>
        <w:topLinePunct w:val="0"/>
        <w:autoSpaceDE/>
        <w:autoSpaceDN/>
        <w:bidi w:val="0"/>
        <w:adjustRightInd/>
        <w:snapToGrid/>
        <w:spacing w:line="480" w:lineRule="auto"/>
        <w:ind w:firstLine="560" w:firstLineChars="200"/>
        <w:jc w:val="center"/>
        <w:textAlignment w:val="auto"/>
        <w:outlineLvl w:val="9"/>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drawing>
          <wp:inline distT="0" distB="0" distL="114300" distR="114300">
            <wp:extent cx="4836160" cy="3627120"/>
            <wp:effectExtent l="0" t="0" r="2540" b="11430"/>
            <wp:docPr id="80" name="图片 80" descr="微信图片_202211041528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微信图片_2022110415284736"/>
                    <pic:cNvPicPr>
                      <a:picLocks noChangeAspect="1"/>
                    </pic:cNvPicPr>
                  </pic:nvPicPr>
                  <pic:blipFill>
                    <a:blip r:embed="rId36"/>
                    <a:stretch>
                      <a:fillRect/>
                    </a:stretch>
                  </pic:blipFill>
                  <pic:spPr>
                    <a:xfrm>
                      <a:off x="0" y="0"/>
                      <a:ext cx="4836160" cy="3627120"/>
                    </a:xfrm>
                    <a:prstGeom prst="rect">
                      <a:avLst/>
                    </a:prstGeom>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图31 中式烹调师（四级/中级工）实操技能考核</w:t>
      </w:r>
    </w:p>
    <w:p>
      <w:pPr>
        <w:keepNext w:val="0"/>
        <w:keepLines w:val="0"/>
        <w:pageBreakBefore w:val="0"/>
        <w:kinsoku/>
        <w:overflowPunct/>
        <w:topLinePunct w:val="0"/>
        <w:autoSpaceDE/>
        <w:autoSpaceDN/>
        <w:bidi w:val="0"/>
        <w:adjustRightInd/>
        <w:snapToGrid/>
        <w:spacing w:line="480" w:lineRule="auto"/>
        <w:textAlignment w:val="auto"/>
        <w:outlineLvl w:val="1"/>
        <w:rPr>
          <w:rFonts w:hint="eastAsia" w:ascii="仿宋_GB2312" w:hAnsi="仿宋_GB2312" w:eastAsia="仿宋_GB2312" w:cs="仿宋_GB2312"/>
          <w:kern w:val="2"/>
          <w:sz w:val="32"/>
          <w:szCs w:val="32"/>
          <w:lang w:val="en-US" w:eastAsia="zh-CN" w:bidi="ar-SA"/>
        </w:rPr>
      </w:pPr>
      <w:r>
        <w:rPr>
          <w:rFonts w:hint="eastAsia" w:ascii="仿宋" w:hAnsi="仿宋" w:eastAsia="仿宋" w:cs="仿宋"/>
          <w:b w:val="0"/>
          <w:bCs/>
          <w:sz w:val="28"/>
          <w:szCs w:val="28"/>
          <w:lang w:val="en-US" w:eastAsia="zh-CN"/>
        </w:rPr>
        <w:t xml:space="preserve">  </w:t>
      </w:r>
      <w:r>
        <w:rPr>
          <w:rFonts w:hint="eastAsia" w:ascii="仿宋_GB2312" w:hAnsi="仿宋_GB2312" w:eastAsia="仿宋_GB2312" w:cs="仿宋_GB2312"/>
          <w:kern w:val="2"/>
          <w:sz w:val="32"/>
          <w:szCs w:val="32"/>
          <w:lang w:val="en-US" w:eastAsia="zh-CN" w:bidi="ar-SA"/>
        </w:rPr>
        <w:t xml:space="preserve">  在我国职业教育和职业技能人才评价工作都进入了新的发展阶段的大背景下，学校将进一步深度挖掘市场，强化自身建设，不断扩大职业技能等级认定覆盖面，满足不同产业、不同群体的技能评价需求，最大限度地发挥学校在人才、技术、资源、文化等方面的优势，主动服务地方发展，助力城市振兴。</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bookmarkStart w:id="12" w:name="_Toc23611"/>
      <w:r>
        <w:rPr>
          <w:rFonts w:hint="eastAsia" w:ascii="Times New Roman" w:hAnsi="Times New Roman" w:eastAsia="仿宋_GB2312" w:cs="Times New Roman"/>
          <w:b/>
          <w:bCs/>
          <w:i w:val="0"/>
          <w:iCs w:val="0"/>
          <w:color w:val="auto"/>
          <w:sz w:val="32"/>
          <w:szCs w:val="32"/>
          <w:lang w:val="en-US" w:eastAsia="zh-CN"/>
        </w:rPr>
        <w:t>5 政策落实质量</w:t>
      </w:r>
      <w:bookmarkEnd w:id="12"/>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学校中职教育学生资助工作在各级有关部门的悉心指导和大力支持下，紧紧围绕国家、省、市学生资助工作的中心任务，全面落实中职教育国家免学费和助学金政策，积极实施中职资助工作规范化管理。</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5.1国家政策落实</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2021年9月至2022年8月两个学期，学校总计为2387名学生免学费190.96万元，为267名贫困学生发放助学金25.325万元；3名学生国家奖学金的材料申报和典型事迹上报工作。并按照上级相关文件对全校雨露计划学生进行了逐人摸底，汇总并按时完成了上报工作，让家庭经济困难学生真正地感受到国家的普惠政策。</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5.2地方政策落实</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本学年享受免学费政策的全日制学生共有2560名，同时，做好精准扶贫工作，为在学校就读的56名学生发放精准扶贫地方资助专项资金5.6万元。另外，学校每月按时完成两次防返贫筛查报告上报工作。</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5.3学校治理</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教学管理上，严格执行陕西省双达标教学管理指标体系要求，完善教学三级管理，细化各领导、干事分工，明确岗位职责，落实目标责任，完善各类教学管理制度，从上课、到岗、备课、课后延时服务、推门听课、听课笔记、教务日志记写、课堂巡查、教师个人工作佳话、总结、教学常规检查、考试等狠抓教学计划的落实情况，着力加强教学过程监督管理。</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学生管理上，以立德树人为根本，坚持思想政治工作育人初心,以素质养成为先导,从严、从细、从实对学生实行全过程、全方位的无缝隙“准军事化”管理；常态化开展军事教育课，红色教育活动及重大纪念日活动等形式多样的活动，让每一个学生在活动中主动接受教育，提升学生国防意识和军事素养，对学生进行爱国主义、集体主义及理想教育。坚持规范管理和养成教育相结合，全面提高学生的综合素质，让学生在“准军事化”管理中养成纪律严明，吃苦耐劳，严谨求实的优良习惯。把部队中的好作风、好思想、好经验、好传统有效地融入到学校的管理当中。用部队的管理方法，来约束学生的自身行为；用国防教育和军事训练相结合的方式，来改变学生的精神面貌，进而改善学生的生活状态和学习态度，为提高他们自身的综合素质奠定坚实基础。</w:t>
      </w:r>
    </w:p>
    <w:p>
      <w:pPr>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drawing>
          <wp:inline distT="0" distB="0" distL="114300" distR="114300">
            <wp:extent cx="5586095" cy="2484755"/>
            <wp:effectExtent l="0" t="0" r="14605" b="10795"/>
            <wp:docPr id="75" name="图片 14" descr="微信图片_2019101009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4" descr="微信图片_20191010094015"/>
                    <pic:cNvPicPr>
                      <a:picLocks noChangeAspect="1"/>
                    </pic:cNvPicPr>
                  </pic:nvPicPr>
                  <pic:blipFill>
                    <a:blip r:embed="rId37"/>
                    <a:srcRect b="382"/>
                    <a:stretch>
                      <a:fillRect/>
                    </a:stretch>
                  </pic:blipFill>
                  <pic:spPr>
                    <a:xfrm>
                      <a:off x="0" y="0"/>
                      <a:ext cx="5586095" cy="2484755"/>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图32 军训开幕式掠影</w:t>
      </w:r>
    </w:p>
    <w:p>
      <w:pPr>
        <w:bidi w:val="0"/>
        <w:jc w:val="left"/>
        <w:rPr>
          <w:rFonts w:hint="default" w:ascii="Calibri" w:hAnsi="Calibri" w:eastAsia="宋体" w:cs="Times New Roman"/>
          <w:kern w:val="2"/>
          <w:sz w:val="21"/>
          <w:szCs w:val="24"/>
          <w:lang w:val="en-US" w:eastAsia="zh-CN" w:bidi="ar-SA"/>
        </w:rPr>
      </w:pPr>
      <w:r>
        <w:rPr>
          <w:rFonts w:hint="eastAsia" w:ascii="仿宋" w:hAnsi="仿宋" w:eastAsia="仿宋" w:cs="仿宋"/>
          <w:sz w:val="28"/>
          <w:szCs w:val="36"/>
          <w:lang w:val="en-US" w:eastAsia="zh-CN"/>
        </w:rPr>
        <w:drawing>
          <wp:inline distT="0" distB="0" distL="114300" distR="114300">
            <wp:extent cx="5618480" cy="3586480"/>
            <wp:effectExtent l="0" t="0" r="1270" b="13970"/>
            <wp:docPr id="65" name="图片 15" descr="微信图片_2019101009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 descr="微信图片_20191010094139"/>
                    <pic:cNvPicPr>
                      <a:picLocks noChangeAspect="1"/>
                    </pic:cNvPicPr>
                  </pic:nvPicPr>
                  <pic:blipFill>
                    <a:blip r:embed="rId38"/>
                    <a:srcRect t="6226"/>
                    <a:stretch>
                      <a:fillRect/>
                    </a:stretch>
                  </pic:blipFill>
                  <pic:spPr>
                    <a:xfrm>
                      <a:off x="0" y="0"/>
                      <a:ext cx="5618480" cy="3586480"/>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lang w:val="en-US" w:eastAsia="zh-CN"/>
        </w:rPr>
      </w:pPr>
      <w:r>
        <w:rPr>
          <w:rFonts w:hint="eastAsia" w:ascii="楷体_GB2312" w:hAnsi="楷体_GB2312" w:eastAsia="楷体_GB2312" w:cs="楷体_GB2312"/>
          <w:b w:val="0"/>
          <w:bCs w:val="0"/>
          <w:kern w:val="2"/>
          <w:sz w:val="32"/>
          <w:szCs w:val="32"/>
          <w:lang w:val="en-US" w:eastAsia="zh-CN" w:bidi="ar-SA"/>
        </w:rPr>
        <w:t>图33 军事教育课掠影</w:t>
      </w:r>
    </w:p>
    <w:p>
      <w:pPr>
        <w:tabs>
          <w:tab w:val="left" w:pos="741"/>
        </w:tabs>
        <w:bidi w:val="0"/>
        <w:jc w:val="center"/>
        <w:rPr>
          <w:rFonts w:hint="default"/>
          <w:sz w:val="24"/>
          <w:szCs w:val="32"/>
          <w:lang w:val="en-US" w:eastAsia="zh-CN"/>
        </w:rPr>
      </w:pPr>
      <w:r>
        <w:rPr>
          <w:rFonts w:hint="default"/>
          <w:sz w:val="24"/>
          <w:szCs w:val="32"/>
          <w:lang w:val="en-US" w:eastAsia="zh-CN"/>
        </w:rPr>
        <w:drawing>
          <wp:inline distT="0" distB="0" distL="114300" distR="114300">
            <wp:extent cx="5264785" cy="3703320"/>
            <wp:effectExtent l="0" t="0" r="12065" b="11430"/>
            <wp:docPr id="69" name="图片 18" descr="1bf2de9f47ce063075a15af32cbf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8" descr="1bf2de9f47ce063075a15af32cbfe71"/>
                    <pic:cNvPicPr>
                      <a:picLocks noChangeAspect="1"/>
                    </pic:cNvPicPr>
                  </pic:nvPicPr>
                  <pic:blipFill>
                    <a:blip r:embed="rId39"/>
                    <a:stretch>
                      <a:fillRect/>
                    </a:stretch>
                  </pic:blipFill>
                  <pic:spPr>
                    <a:xfrm>
                      <a:off x="0" y="0"/>
                      <a:ext cx="5264785" cy="3703320"/>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图34 军事教育课掠影</w:t>
      </w:r>
    </w:p>
    <w:p>
      <w:pPr>
        <w:bidi w:val="0"/>
        <w:jc w:val="center"/>
        <w:rPr>
          <w:rFonts w:hint="default" w:ascii="Calibri" w:hAnsi="Calibri" w:eastAsia="宋体" w:cs="Times New Roman"/>
          <w:kern w:val="2"/>
          <w:sz w:val="21"/>
          <w:szCs w:val="24"/>
          <w:lang w:val="en-US" w:eastAsia="zh-CN" w:bidi="ar-SA"/>
        </w:rPr>
      </w:pPr>
      <w:r>
        <w:rPr>
          <w:rFonts w:hint="default" w:ascii="仿宋" w:hAnsi="仿宋" w:eastAsia="仿宋" w:cs="仿宋"/>
          <w:sz w:val="24"/>
          <w:szCs w:val="32"/>
          <w:lang w:val="en-US" w:eastAsia="zh-CN"/>
        </w:rPr>
        <w:drawing>
          <wp:inline distT="0" distB="0" distL="114300" distR="114300">
            <wp:extent cx="5266690" cy="3703320"/>
            <wp:effectExtent l="0" t="0" r="10160" b="11430"/>
            <wp:docPr id="73" name="图片 20" descr="a74de99ffb529594ba52f746612f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0" descr="a74de99ffb529594ba52f746612f1e4"/>
                    <pic:cNvPicPr>
                      <a:picLocks noChangeAspect="1"/>
                    </pic:cNvPicPr>
                  </pic:nvPicPr>
                  <pic:blipFill>
                    <a:blip r:embed="rId40"/>
                    <a:stretch>
                      <a:fillRect/>
                    </a:stretch>
                  </pic:blipFill>
                  <pic:spPr>
                    <a:xfrm>
                      <a:off x="0" y="0"/>
                      <a:ext cx="5266690" cy="3703320"/>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eastAsia" w:ascii="楷体_GB2312" w:hAnsi="楷体_GB2312" w:eastAsia="楷体_GB2312" w:cs="楷体_GB2312"/>
          <w:b w:val="0"/>
          <w:bCs w:val="0"/>
          <w:kern w:val="2"/>
          <w:sz w:val="32"/>
          <w:szCs w:val="32"/>
          <w:lang w:val="en-US" w:eastAsia="zh-CN" w:bidi="ar-SA"/>
        </w:rPr>
      </w:pPr>
      <w:r>
        <w:rPr>
          <w:rFonts w:hint="eastAsia" w:ascii="楷体_GB2312" w:hAnsi="楷体_GB2312" w:eastAsia="楷体_GB2312" w:cs="楷体_GB2312"/>
          <w:b w:val="0"/>
          <w:bCs w:val="0"/>
          <w:kern w:val="2"/>
          <w:sz w:val="32"/>
          <w:szCs w:val="32"/>
          <w:lang w:val="en-US" w:eastAsia="zh-CN" w:bidi="ar-SA"/>
        </w:rPr>
        <w:t>图35 学生就餐排队掠影</w:t>
      </w:r>
    </w:p>
    <w:p>
      <w:pPr>
        <w:bidi w:val="0"/>
        <w:ind w:firstLine="441" w:firstLineChars="0"/>
        <w:jc w:val="center"/>
        <w:rPr>
          <w:rFonts w:hint="eastAsia" w:ascii="仿宋" w:hAnsi="仿宋" w:eastAsia="仿宋" w:cs="仿宋"/>
          <w:sz w:val="24"/>
          <w:szCs w:val="32"/>
          <w:lang w:val="en-US" w:eastAsia="zh-CN"/>
        </w:rPr>
      </w:pPr>
      <w:r>
        <w:rPr>
          <w:rFonts w:hint="eastAsia" w:ascii="仿宋" w:hAnsi="仿宋" w:eastAsia="仿宋" w:cs="仿宋"/>
          <w:sz w:val="24"/>
          <w:szCs w:val="32"/>
          <w:lang w:val="en-US" w:eastAsia="zh-CN"/>
        </w:rPr>
        <w:drawing>
          <wp:inline distT="0" distB="0" distL="114300" distR="114300">
            <wp:extent cx="5266690" cy="3607435"/>
            <wp:effectExtent l="0" t="0" r="10160" b="12065"/>
            <wp:docPr id="71" name="图片 21" descr="36720615b68976ed62ea8dabe52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1" descr="36720615b68976ed62ea8dabe521701"/>
                    <pic:cNvPicPr>
                      <a:picLocks noChangeAspect="1"/>
                    </pic:cNvPicPr>
                  </pic:nvPicPr>
                  <pic:blipFill>
                    <a:blip r:embed="rId41"/>
                    <a:srcRect t="5254"/>
                    <a:stretch>
                      <a:fillRect/>
                    </a:stretch>
                  </pic:blipFill>
                  <pic:spPr>
                    <a:xfrm>
                      <a:off x="0" y="0"/>
                      <a:ext cx="5266690" cy="3607435"/>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default"/>
          <w:lang w:val="en-US" w:eastAsia="zh-CN"/>
        </w:rPr>
      </w:pPr>
      <w:r>
        <w:rPr>
          <w:rFonts w:hint="eastAsia" w:ascii="楷体_GB2312" w:hAnsi="楷体_GB2312" w:eastAsia="楷体_GB2312" w:cs="楷体_GB2312"/>
          <w:b w:val="0"/>
          <w:bCs w:val="0"/>
          <w:kern w:val="2"/>
          <w:sz w:val="32"/>
          <w:szCs w:val="32"/>
          <w:lang w:val="en-US" w:eastAsia="zh-CN" w:bidi="ar-SA"/>
        </w:rPr>
        <w:t>图36 学生内务掠影</w:t>
      </w:r>
    </w:p>
    <w:p>
      <w:pPr>
        <w:bidi w:val="0"/>
        <w:jc w:val="center"/>
        <w:rPr>
          <w:rFonts w:hint="default"/>
          <w:lang w:val="en-US" w:eastAsia="zh-CN"/>
        </w:rPr>
      </w:pPr>
      <w:r>
        <w:rPr>
          <w:rFonts w:hint="default"/>
          <w:lang w:val="en-US" w:eastAsia="zh-CN"/>
        </w:rPr>
        <w:drawing>
          <wp:inline distT="0" distB="0" distL="114300" distR="114300">
            <wp:extent cx="5253990" cy="3235325"/>
            <wp:effectExtent l="0" t="0" r="3810" b="3175"/>
            <wp:docPr id="70" name="图片 24" descr="15d6ecfbc711965cfa2bddc34895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4" descr="15d6ecfbc711965cfa2bddc34895b62"/>
                    <pic:cNvPicPr>
                      <a:picLocks noChangeAspect="1"/>
                    </pic:cNvPicPr>
                  </pic:nvPicPr>
                  <pic:blipFill>
                    <a:blip r:embed="rId42"/>
                    <a:srcRect b="17889"/>
                    <a:stretch>
                      <a:fillRect/>
                    </a:stretch>
                  </pic:blipFill>
                  <pic:spPr>
                    <a:xfrm>
                      <a:off x="0" y="0"/>
                      <a:ext cx="5253990" cy="3235325"/>
                    </a:xfrm>
                    <a:prstGeom prst="rect">
                      <a:avLst/>
                    </a:prstGeom>
                    <a:noFill/>
                    <a:ln>
                      <a:noFill/>
                    </a:ln>
                  </pic:spPr>
                </pic:pic>
              </a:graphicData>
            </a:graphic>
          </wp:inline>
        </w:drawing>
      </w:r>
    </w:p>
    <w:p>
      <w:pPr>
        <w:keepNext w:val="0"/>
        <w:keepLines w:val="0"/>
        <w:pageBreakBefore w:val="0"/>
        <w:kinsoku/>
        <w:overflowPunct/>
        <w:topLinePunct w:val="0"/>
        <w:autoSpaceDE/>
        <w:autoSpaceDN/>
        <w:bidi w:val="0"/>
        <w:adjustRightInd/>
        <w:snapToGrid/>
        <w:spacing w:line="480" w:lineRule="auto"/>
        <w:jc w:val="center"/>
        <w:textAlignment w:val="auto"/>
        <w:outlineLvl w:val="1"/>
        <w:rPr>
          <w:rFonts w:hint="eastAsia" w:ascii="仿宋_GB2312" w:hAnsi="仿宋_GB2312" w:eastAsia="仿宋_GB2312" w:cs="仿宋_GB2312"/>
          <w:b w:val="0"/>
          <w:bCs w:val="0"/>
          <w:color w:val="000000" w:themeColor="text1"/>
          <w:sz w:val="32"/>
          <w:szCs w:val="32"/>
          <w14:textFill>
            <w14:solidFill>
              <w14:schemeClr w14:val="tx1"/>
            </w14:solidFill>
          </w14:textFill>
        </w:rPr>
      </w:pPr>
      <w:r>
        <w:rPr>
          <w:rFonts w:hint="eastAsia" w:ascii="楷体_GB2312" w:hAnsi="楷体_GB2312" w:eastAsia="楷体_GB2312" w:cs="楷体_GB2312"/>
          <w:b w:val="0"/>
          <w:bCs w:val="0"/>
          <w:kern w:val="2"/>
          <w:sz w:val="32"/>
          <w:szCs w:val="32"/>
          <w:lang w:val="en-US" w:eastAsia="zh-CN" w:bidi="ar-SA"/>
        </w:rPr>
        <w:t>图37 大集合掠影</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5.4质量保证体系建设</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为贯彻落实《国务院关于加快发展现代职业教育的决定》和《陕西省人民政府关于加快发展现代职业教育的意见》，不断深化中等职业教育教学改革，全面提高中等职业学校人才培养质量，根据教育部《中等职业学校教学工作诊断与改进指导方案（试行）》制定了《韩城职专教学工作诊断与改进实施方案》，成立了教学诊改工作领导小组，明确工作职责。 通过实施教学工作诊断与改进，建立基于学校人才培养工作的数据系统，形成学校自主诊改、教育行政部门根据需要抽样复核的人才培养质量评价机制，通过听课评教、常规检查、定期考核等形式强化教学质量过程监控，确保学校办学方向正确、办学条件达标、教学管理规范，促进人才培养质量持续提升。</w:t>
      </w:r>
    </w:p>
    <w:p>
      <w:pPr>
        <w:ind w:firstLine="643" w:firstLineChars="200"/>
        <w:rPr>
          <w:rFonts w:hint="eastAsia" w:ascii="Times New Roman" w:hAnsi="Times New Roman" w:eastAsia="仿宋_GB2312" w:cs="Times New Roman"/>
          <w:b/>
          <w:bCs/>
          <w:i w:val="0"/>
          <w:iCs w:val="0"/>
          <w:color w:val="auto"/>
          <w:sz w:val="32"/>
          <w:szCs w:val="32"/>
          <w:lang w:val="en-US" w:eastAsia="zh-CN"/>
        </w:rPr>
      </w:pPr>
      <w:r>
        <w:rPr>
          <w:rFonts w:hint="eastAsia" w:ascii="Times New Roman" w:hAnsi="Times New Roman" w:eastAsia="仿宋_GB2312" w:cs="Times New Roman"/>
          <w:b/>
          <w:bCs/>
          <w:i w:val="0"/>
          <w:iCs w:val="0"/>
          <w:color w:val="auto"/>
          <w:sz w:val="32"/>
          <w:szCs w:val="32"/>
          <w:lang w:val="en-US" w:eastAsia="zh-CN"/>
        </w:rPr>
        <w:t>5.5经费投入</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2021-2022学年学校财政拨款总额2413.05万元,生均2400元，财政专项资金是学校非常重要的资金来源，关系到学校各项事业的发展和办学水平的提升。学校始终高度重视财政专项的使用申报、管理、执行、考核等工作，真正用好财政专项资金，集中有限财力办急事、办大事。按照疫情防控工作要求，在保证建设质量的前提下，加快项目执行进度；严格按照上级部门要求，加强项目管理的沟通协作，全面加强项目绩效考核。</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学校建立健全财务和资产管理制度，资金的收入和支出严格按财经制度执行。一是在专项资金管理上，明确资金来源、使用范围、开支标准、审批流程、时间节点，明确了招标采购、项目建设、监督验收等环节程序，保证了财务、资产管理制度的规范和执行的有效性。二是成立领导小组，实行校长负责制，以精细化管理为基础，实行三级管理，配备专业人员，提高资产管理、使用效率。三是坚持“量入为出，保证重点，兼顾一般”原则，科学、全面、细化，以“双达标”为重点，确保资金用到实处，满足学校发展需要。</w:t>
      </w:r>
    </w:p>
    <w:p>
      <w:pPr>
        <w:ind w:firstLine="643" w:firstLineChars="200"/>
        <w:outlineLvl w:val="0"/>
        <w:rPr>
          <w:rFonts w:hint="eastAsia" w:ascii="Times New Roman" w:hAnsi="Times New Roman" w:eastAsia="仿宋_GB2312" w:cs="Times New Roman"/>
          <w:b/>
          <w:bCs/>
          <w:i w:val="0"/>
          <w:iCs w:val="0"/>
          <w:color w:val="auto"/>
          <w:sz w:val="32"/>
          <w:szCs w:val="32"/>
          <w:lang w:val="en-US" w:eastAsia="zh-CN"/>
        </w:rPr>
      </w:pPr>
      <w:bookmarkStart w:id="13" w:name="_Toc14051"/>
      <w:r>
        <w:rPr>
          <w:rFonts w:hint="eastAsia" w:ascii="Times New Roman" w:hAnsi="Times New Roman" w:eastAsia="仿宋_GB2312" w:cs="Times New Roman"/>
          <w:b/>
          <w:bCs/>
          <w:i w:val="0"/>
          <w:iCs w:val="0"/>
          <w:color w:val="auto"/>
          <w:sz w:val="32"/>
          <w:szCs w:val="32"/>
          <w:lang w:val="en-US" w:eastAsia="zh-CN"/>
        </w:rPr>
        <w:t>6 面临挑战</w:t>
      </w:r>
      <w:bookmarkEnd w:id="13"/>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挑战1：教师数量不足，招聘教师途径单一，专业课教师不能得到有效补充；专业课教师不专，实训课教师年龄偏大，制约了专业发展；教师企业实践机会较少，教学内容跟进新技术、新工艺能力较低。</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1"/>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挑战2：实训设备及条件陈旧，实训教学项目开展受限，不能满足专业发展需求，新技术不能进入课堂。</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0"/>
        <w:rPr>
          <w:rFonts w:hint="eastAsia" w:ascii="仿宋_GB2312" w:hAnsi="仿宋_GB2312" w:eastAsia="仿宋_GB2312" w:cs="仿宋_GB2312"/>
          <w:kern w:val="2"/>
          <w:sz w:val="32"/>
          <w:szCs w:val="32"/>
          <w:lang w:val="en-US" w:eastAsia="zh-CN" w:bidi="ar-SA"/>
        </w:rPr>
      </w:pPr>
      <w:bookmarkStart w:id="14" w:name="_Toc4369"/>
      <w:r>
        <w:rPr>
          <w:rFonts w:hint="eastAsia" w:ascii="仿宋_GB2312" w:hAnsi="仿宋_GB2312" w:eastAsia="仿宋_GB2312" w:cs="仿宋_GB2312"/>
          <w:kern w:val="2"/>
          <w:sz w:val="32"/>
          <w:szCs w:val="32"/>
          <w:lang w:val="en-US" w:eastAsia="zh-CN" w:bidi="ar-SA"/>
        </w:rPr>
        <w:t>挑战3 ：技能大赛</w:t>
      </w:r>
      <w:bookmarkEnd w:id="14"/>
      <w:r>
        <w:rPr>
          <w:rFonts w:hint="eastAsia" w:ascii="仿宋_GB2312" w:hAnsi="仿宋_GB2312" w:eastAsia="仿宋_GB2312" w:cs="仿宋_GB2312"/>
          <w:kern w:val="2"/>
          <w:sz w:val="32"/>
          <w:szCs w:val="32"/>
          <w:lang w:val="en-US" w:eastAsia="zh-CN" w:bidi="ar-SA"/>
        </w:rPr>
        <w:t>省级一等奖未突破。教师的眼界不够开阔，训练能力及水平已经达到了瓶颈；学生的心理素质不强，有发挥失常和临场紧张的现象，学生基本功不扎实；训练时间不够，教师的训练不够专注，下的苦功不够。</w:t>
      </w:r>
    </w:p>
    <w:p>
      <w:pPr>
        <w:keepNext w:val="0"/>
        <w:keepLines w:val="0"/>
        <w:pageBreakBefore w:val="0"/>
        <w:kinsoku/>
        <w:overflowPunct/>
        <w:topLinePunct w:val="0"/>
        <w:autoSpaceDE/>
        <w:autoSpaceDN/>
        <w:bidi w:val="0"/>
        <w:adjustRightInd/>
        <w:snapToGrid/>
        <w:spacing w:line="480" w:lineRule="auto"/>
        <w:ind w:firstLine="640" w:firstLineChars="200"/>
        <w:textAlignment w:val="auto"/>
        <w:outlineLvl w:val="9"/>
      </w:pPr>
      <w:r>
        <w:rPr>
          <w:rFonts w:hint="eastAsia" w:ascii="仿宋_GB2312" w:hAnsi="仿宋_GB2312" w:eastAsia="仿宋_GB2312" w:cs="仿宋_GB2312"/>
          <w:kern w:val="2"/>
          <w:sz w:val="32"/>
          <w:szCs w:val="32"/>
          <w:lang w:val="en-US" w:eastAsia="zh-CN" w:bidi="ar-SA"/>
        </w:rPr>
        <w:t>挑战4：学校提质扩容工程进展缓慢，办学经费紧缺，实训设施设备更新慢。</w:t>
      </w:r>
    </w:p>
    <w:p>
      <w:pPr>
        <w:pStyle w:val="2"/>
      </w:pPr>
    </w:p>
    <w:p/>
    <w:p>
      <w:pPr>
        <w:pStyle w:val="2"/>
      </w:pPr>
    </w:p>
    <w:p>
      <w:pPr>
        <w:rPr>
          <w:b/>
          <w:bCs/>
          <w:color w:val="FF0000"/>
        </w:rPr>
      </w:pPr>
      <w:r>
        <w:rPr>
          <w:b/>
          <w:bCs/>
          <w:color w:val="FF0000"/>
        </w:rPr>
        <w:t>表 1    中等职业教育质量数据表</w:t>
      </w:r>
    </w:p>
    <w:p>
      <w:r>
        <w:t>名称：</w:t>
      </w:r>
    </w:p>
    <w:tbl>
      <w:tblPr>
        <w:tblStyle w:val="32"/>
        <w:tblW w:w="8699" w:type="dxa"/>
        <w:tblInd w:w="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8"/>
        <w:gridCol w:w="5542"/>
        <w:gridCol w:w="970"/>
        <w:gridCol w:w="135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28" w:type="dxa"/>
            <w:vAlign w:val="top"/>
          </w:tcPr>
          <w:p>
            <w:r>
              <w:t>序号</w:t>
            </w:r>
          </w:p>
        </w:tc>
        <w:tc>
          <w:tcPr>
            <w:tcW w:w="5542" w:type="dxa"/>
            <w:vAlign w:val="top"/>
          </w:tcPr>
          <w:p>
            <w:r>
              <w:t>指标</w:t>
            </w:r>
          </w:p>
        </w:tc>
        <w:tc>
          <w:tcPr>
            <w:tcW w:w="970" w:type="dxa"/>
            <w:vAlign w:val="top"/>
          </w:tcPr>
          <w:p>
            <w:r>
              <w:t>单位</w:t>
            </w:r>
          </w:p>
        </w:tc>
        <w:tc>
          <w:tcPr>
            <w:tcW w:w="1359" w:type="dxa"/>
            <w:vAlign w:val="top"/>
          </w:tcPr>
          <w:p>
            <w:r>
              <w:t>2022 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Align w:val="top"/>
          </w:tcPr>
          <w:p>
            <w:r>
              <w:t>1</w:t>
            </w:r>
          </w:p>
        </w:tc>
        <w:tc>
          <w:tcPr>
            <w:tcW w:w="5542" w:type="dxa"/>
            <w:vAlign w:val="top"/>
          </w:tcPr>
          <w:p>
            <w:r>
              <w:t>思政课程教师数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23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Align w:val="top"/>
          </w:tcPr>
          <w:p>
            <w:r>
              <w:t>2</w:t>
            </w:r>
          </w:p>
        </w:tc>
        <w:tc>
          <w:tcPr>
            <w:tcW w:w="5542" w:type="dxa"/>
            <w:vAlign w:val="top"/>
          </w:tcPr>
          <w:p>
            <w:r>
              <w:t>德育工作人员数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Align w:val="top"/>
          </w:tcPr>
          <w:p>
            <w:r>
              <w:t>3</w:t>
            </w:r>
          </w:p>
        </w:tc>
        <w:tc>
          <w:tcPr>
            <w:tcW w:w="5542" w:type="dxa"/>
            <w:vAlign w:val="top"/>
          </w:tcPr>
          <w:p>
            <w:r>
              <w:t>班主任数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72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Merge w:val="restart"/>
            <w:tcBorders>
              <w:bottom w:val="nil"/>
            </w:tcBorders>
            <w:vAlign w:val="top"/>
          </w:tcPr>
          <w:p/>
          <w:p/>
          <w:p>
            <w:r>
              <w:t>4</w:t>
            </w:r>
          </w:p>
        </w:tc>
        <w:tc>
          <w:tcPr>
            <w:tcW w:w="5542" w:type="dxa"/>
            <w:vAlign w:val="top"/>
          </w:tcPr>
          <w:p>
            <w:r>
              <w:t>德育活动学生参与数</w:t>
            </w:r>
          </w:p>
        </w:tc>
        <w:tc>
          <w:tcPr>
            <w:tcW w:w="970" w:type="dxa"/>
            <w:vAlign w:val="top"/>
          </w:tcPr>
          <w:p>
            <w:r>
              <w:t>人</w:t>
            </w:r>
          </w:p>
        </w:tc>
        <w:tc>
          <w:tcPr>
            <w:tcW w:w="1359" w:type="dxa"/>
            <w:vAlign w:val="top"/>
          </w:tcPr>
          <w:p>
            <w:pPr>
              <w:rPr>
                <w:rFonts w:hint="default"/>
                <w:lang w:val="en-US"/>
              </w:rPr>
            </w:pPr>
            <w:r>
              <w:rPr>
                <w:rFonts w:hint="eastAsia"/>
                <w:lang w:val="en-US" w:eastAsia="zh-CN"/>
              </w:rPr>
              <w:t>16194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Merge w:val="continue"/>
            <w:tcBorders>
              <w:top w:val="nil"/>
              <w:bottom w:val="nil"/>
            </w:tcBorders>
            <w:vAlign w:val="top"/>
          </w:tcPr>
          <w:p/>
        </w:tc>
        <w:tc>
          <w:tcPr>
            <w:tcW w:w="5542" w:type="dxa"/>
            <w:vAlign w:val="top"/>
          </w:tcPr>
          <w:p>
            <w:r>
              <w:t>其中：国家级</w:t>
            </w:r>
          </w:p>
        </w:tc>
        <w:tc>
          <w:tcPr>
            <w:tcW w:w="970" w:type="dxa"/>
            <w:vAlign w:val="top"/>
          </w:tcPr>
          <w:p>
            <w:r>
              <w:t>人</w:t>
            </w:r>
          </w:p>
        </w:tc>
        <w:tc>
          <w:tcPr>
            <w:tcW w:w="1359" w:type="dxa"/>
            <w:vAlign w:val="top"/>
          </w:tcPr>
          <w:p>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Merge w:val="continue"/>
            <w:tcBorders>
              <w:top w:val="nil"/>
              <w:bottom w:val="nil"/>
            </w:tcBorders>
            <w:vAlign w:val="top"/>
          </w:tcPr>
          <w:p/>
        </w:tc>
        <w:tc>
          <w:tcPr>
            <w:tcW w:w="5542" w:type="dxa"/>
            <w:vAlign w:val="top"/>
          </w:tcPr>
          <w:p>
            <w:r>
              <w:t>省级</w:t>
            </w:r>
          </w:p>
        </w:tc>
        <w:tc>
          <w:tcPr>
            <w:tcW w:w="970" w:type="dxa"/>
            <w:vAlign w:val="top"/>
          </w:tcPr>
          <w:p>
            <w:r>
              <w:t>人</w:t>
            </w:r>
          </w:p>
        </w:tc>
        <w:tc>
          <w:tcPr>
            <w:tcW w:w="1359" w:type="dxa"/>
            <w:vAlign w:val="top"/>
          </w:tcPr>
          <w:p>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828" w:type="dxa"/>
            <w:vMerge w:val="continue"/>
            <w:tcBorders>
              <w:top w:val="nil"/>
            </w:tcBorders>
            <w:vAlign w:val="top"/>
          </w:tcPr>
          <w:p/>
        </w:tc>
        <w:tc>
          <w:tcPr>
            <w:tcW w:w="5542" w:type="dxa"/>
            <w:vAlign w:val="top"/>
          </w:tcPr>
          <w:p>
            <w:r>
              <w:t>地市级</w:t>
            </w:r>
          </w:p>
        </w:tc>
        <w:tc>
          <w:tcPr>
            <w:tcW w:w="970" w:type="dxa"/>
            <w:vAlign w:val="top"/>
          </w:tcPr>
          <w:p>
            <w:r>
              <w:t>人</w:t>
            </w:r>
          </w:p>
        </w:tc>
        <w:tc>
          <w:tcPr>
            <w:tcW w:w="1359" w:type="dxa"/>
            <w:vAlign w:val="top"/>
          </w:tcPr>
          <w:p>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5</w:t>
            </w:r>
          </w:p>
        </w:tc>
        <w:tc>
          <w:tcPr>
            <w:tcW w:w="5542" w:type="dxa"/>
            <w:vAlign w:val="top"/>
          </w:tcPr>
          <w:p>
            <w:r>
              <w:t>体育课专任教师数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6</w:t>
            </w:r>
          </w:p>
        </w:tc>
        <w:tc>
          <w:tcPr>
            <w:tcW w:w="5542" w:type="dxa"/>
            <w:vAlign w:val="top"/>
          </w:tcPr>
          <w:p>
            <w:r>
              <w:t>美育课专任教师数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restart"/>
            <w:vAlign w:val="top"/>
          </w:tcPr>
          <w:p>
            <w:pPr>
              <w:rPr>
                <w:rFonts w:hint="eastAsia" w:eastAsiaTheme="minorEastAsia"/>
                <w:lang w:val="en-US" w:eastAsia="zh-CN"/>
              </w:rPr>
            </w:pPr>
            <w:r>
              <w:rPr>
                <w:rFonts w:hint="eastAsia"/>
                <w:lang w:val="en-US" w:eastAsia="zh-CN"/>
              </w:rPr>
              <w:t>7</w:t>
            </w:r>
          </w:p>
        </w:tc>
        <w:tc>
          <w:tcPr>
            <w:tcW w:w="5542" w:type="dxa"/>
            <w:vAlign w:val="top"/>
          </w:tcPr>
          <w:p>
            <w:r>
              <w:t>升学总人数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863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其中：通过贯通培养升学人数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599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通过五年一贯制培养升学人数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通过职教高考升学人数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42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升入职业本科人数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升入普通本科人数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升入专科人数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32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eastAsiaTheme="minorEastAsia"/>
                <w:lang w:val="en-US" w:eastAsia="zh-CN"/>
              </w:rPr>
            </w:pPr>
            <w:r>
              <w:rPr>
                <w:rFonts w:hint="eastAsia"/>
                <w:lang w:val="en-US" w:eastAsia="zh-CN"/>
              </w:rPr>
              <w:t>8</w:t>
            </w:r>
          </w:p>
        </w:tc>
        <w:tc>
          <w:tcPr>
            <w:tcW w:w="5542" w:type="dxa"/>
            <w:vAlign w:val="top"/>
          </w:tcPr>
          <w:p>
            <w:r>
              <w:t>全日制在校生数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2885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eastAsiaTheme="minorEastAsia"/>
                <w:lang w:val="en-US" w:eastAsia="zh-CN"/>
              </w:rPr>
            </w:pPr>
            <w:r>
              <w:rPr>
                <w:rFonts w:hint="eastAsia"/>
                <w:lang w:val="en-US" w:eastAsia="zh-CN"/>
              </w:rPr>
              <w:t>9</w:t>
            </w:r>
          </w:p>
        </w:tc>
        <w:tc>
          <w:tcPr>
            <w:tcW w:w="5542" w:type="dxa"/>
            <w:vAlign w:val="top"/>
          </w:tcPr>
          <w:p>
            <w:r>
              <w:t>专业数量</w:t>
            </w:r>
          </w:p>
        </w:tc>
        <w:tc>
          <w:tcPr>
            <w:tcW w:w="970" w:type="dxa"/>
            <w:vAlign w:val="top"/>
          </w:tcPr>
          <w:p>
            <w:r>
              <w:t>个</w:t>
            </w:r>
          </w:p>
        </w:tc>
        <w:tc>
          <w:tcPr>
            <w:tcW w:w="1359" w:type="dxa"/>
            <w:vAlign w:val="top"/>
          </w:tcPr>
          <w:p>
            <w:pPr>
              <w:rPr>
                <w:rFonts w:hint="default" w:eastAsiaTheme="minorEastAsia"/>
                <w:lang w:val="en-US" w:eastAsia="zh-CN"/>
              </w:rPr>
            </w:pPr>
            <w:r>
              <w:rPr>
                <w:rFonts w:hint="eastAsia"/>
                <w:lang w:val="en-US" w:eastAsia="zh-CN"/>
              </w:rPr>
              <w:t>11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10</w:t>
            </w:r>
          </w:p>
        </w:tc>
        <w:tc>
          <w:tcPr>
            <w:tcW w:w="5542" w:type="dxa"/>
            <w:vAlign w:val="top"/>
          </w:tcPr>
          <w:p>
            <w:r>
              <w:t>课程总量</w:t>
            </w:r>
          </w:p>
        </w:tc>
        <w:tc>
          <w:tcPr>
            <w:tcW w:w="970" w:type="dxa"/>
            <w:vAlign w:val="top"/>
          </w:tcPr>
          <w:p>
            <w:r>
              <w:t>门</w:t>
            </w:r>
          </w:p>
        </w:tc>
        <w:tc>
          <w:tcPr>
            <w:tcW w:w="1359" w:type="dxa"/>
            <w:vAlign w:val="top"/>
          </w:tcPr>
          <w:p>
            <w:pPr>
              <w:rPr>
                <w:rFonts w:hint="default" w:eastAsiaTheme="minorEastAsia"/>
                <w:lang w:val="en-US" w:eastAsia="zh-CN"/>
              </w:rPr>
            </w:pPr>
            <w:r>
              <w:rPr>
                <w:rFonts w:hint="eastAsia"/>
                <w:lang w:val="en-US" w:eastAsia="zh-CN"/>
              </w:rPr>
              <w:t>247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11</w:t>
            </w:r>
          </w:p>
        </w:tc>
        <w:tc>
          <w:tcPr>
            <w:tcW w:w="5542" w:type="dxa"/>
            <w:vAlign w:val="top"/>
          </w:tcPr>
          <w:p>
            <w:r>
              <w:t>参加国家学生体质健康标准测试人数</w:t>
            </w:r>
          </w:p>
        </w:tc>
        <w:tc>
          <w:tcPr>
            <w:tcW w:w="970" w:type="dxa"/>
            <w:vAlign w:val="top"/>
          </w:tcPr>
          <w:p>
            <w:r>
              <w:t>人</w:t>
            </w:r>
          </w:p>
        </w:tc>
        <w:tc>
          <w:tcPr>
            <w:tcW w:w="1359" w:type="dxa"/>
            <w:vAlign w:val="top"/>
          </w:tcPr>
          <w:p>
            <w:r>
              <w:rPr>
                <w:rFonts w:hint="eastAsia"/>
                <w:lang w:val="en-US" w:eastAsia="zh-CN"/>
              </w:rPr>
              <w:t>2565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12</w:t>
            </w:r>
          </w:p>
        </w:tc>
        <w:tc>
          <w:tcPr>
            <w:tcW w:w="5542" w:type="dxa"/>
            <w:vAlign w:val="top"/>
          </w:tcPr>
          <w:p>
            <w:r>
              <w:t>学生体质测评合格率</w:t>
            </w:r>
          </w:p>
        </w:tc>
        <w:tc>
          <w:tcPr>
            <w:tcW w:w="970" w:type="dxa"/>
            <w:vAlign w:val="top"/>
          </w:tcPr>
          <w:p>
            <w:r>
              <w:t>%</w:t>
            </w:r>
          </w:p>
        </w:tc>
        <w:tc>
          <w:tcPr>
            <w:tcW w:w="1359" w:type="dxa"/>
            <w:vAlign w:val="top"/>
          </w:tcPr>
          <w:p>
            <w:pPr>
              <w:rPr>
                <w:rFonts w:hint="default" w:eastAsiaTheme="minorEastAsia"/>
                <w:lang w:val="en-US" w:eastAsia="zh-CN"/>
              </w:rPr>
            </w:pPr>
            <w:r>
              <w:rPr>
                <w:rFonts w:hint="eastAsia"/>
                <w:lang w:val="en-US" w:eastAsia="zh-CN"/>
              </w:rPr>
              <w:t>94.3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13</w:t>
            </w:r>
          </w:p>
        </w:tc>
        <w:tc>
          <w:tcPr>
            <w:tcW w:w="5542" w:type="dxa"/>
            <w:vAlign w:val="top"/>
          </w:tcPr>
          <w:p>
            <w:r>
              <w:t>全国职业院校技能大赛学生获奖人数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14</w:t>
            </w:r>
          </w:p>
        </w:tc>
        <w:tc>
          <w:tcPr>
            <w:tcW w:w="5542" w:type="dxa"/>
            <w:vAlign w:val="top"/>
          </w:tcPr>
          <w:p>
            <w:r>
              <w:t>全国职业技能大赛学生获奖人数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15</w:t>
            </w:r>
          </w:p>
        </w:tc>
        <w:tc>
          <w:tcPr>
            <w:tcW w:w="5542" w:type="dxa"/>
            <w:vAlign w:val="top"/>
          </w:tcPr>
          <w:p>
            <w:r>
              <w:t>职业技能等级证书 (含职业资格证书) 获取人数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184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16</w:t>
            </w:r>
          </w:p>
        </w:tc>
        <w:tc>
          <w:tcPr>
            <w:tcW w:w="5542" w:type="dxa"/>
            <w:vAlign w:val="top"/>
          </w:tcPr>
          <w:p>
            <w:r>
              <w:t>生均校园用地面积</w:t>
            </w:r>
          </w:p>
        </w:tc>
        <w:tc>
          <w:tcPr>
            <w:tcW w:w="970" w:type="dxa"/>
            <w:vAlign w:val="top"/>
          </w:tcPr>
          <w:p>
            <w:r>
              <w:t>平方米</w:t>
            </w:r>
          </w:p>
        </w:tc>
        <w:tc>
          <w:tcPr>
            <w:tcW w:w="1359" w:type="dxa"/>
            <w:vAlign w:val="top"/>
          </w:tcPr>
          <w:p>
            <w:pPr>
              <w:rPr>
                <w:rFonts w:hint="default"/>
                <w:lang w:val="en-US"/>
              </w:rPr>
            </w:pPr>
            <w:r>
              <w:rPr>
                <w:rFonts w:hint="eastAsia"/>
                <w:lang w:val="en-US" w:eastAsia="zh-CN"/>
              </w:rPr>
              <w:t>48.7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17</w:t>
            </w:r>
          </w:p>
        </w:tc>
        <w:tc>
          <w:tcPr>
            <w:tcW w:w="5542" w:type="dxa"/>
            <w:vAlign w:val="top"/>
          </w:tcPr>
          <w:p>
            <w:r>
              <w:t>生均校舍建筑面积</w:t>
            </w:r>
          </w:p>
        </w:tc>
        <w:tc>
          <w:tcPr>
            <w:tcW w:w="970" w:type="dxa"/>
            <w:vAlign w:val="top"/>
          </w:tcPr>
          <w:p>
            <w:r>
              <w:t>平方米</w:t>
            </w:r>
          </w:p>
        </w:tc>
        <w:tc>
          <w:tcPr>
            <w:tcW w:w="1359" w:type="dxa"/>
            <w:vAlign w:val="top"/>
          </w:tcPr>
          <w:p>
            <w:pPr>
              <w:rPr>
                <w:rFonts w:hint="default"/>
                <w:lang w:val="en-US"/>
              </w:rPr>
            </w:pPr>
            <w:r>
              <w:rPr>
                <w:rFonts w:hint="eastAsia"/>
                <w:lang w:val="en-US" w:eastAsia="zh-CN"/>
              </w:rPr>
              <w:t>28.37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eastAsiaTheme="minorEastAsia"/>
                <w:lang w:val="en-US" w:eastAsia="zh-CN"/>
              </w:rPr>
            </w:pPr>
            <w:r>
              <w:t>1</w:t>
            </w:r>
            <w:r>
              <w:rPr>
                <w:rFonts w:hint="eastAsia"/>
                <w:lang w:val="en-US" w:eastAsia="zh-CN"/>
              </w:rPr>
              <w:t>8</w:t>
            </w:r>
          </w:p>
        </w:tc>
        <w:tc>
          <w:tcPr>
            <w:tcW w:w="5542" w:type="dxa"/>
            <w:vAlign w:val="top"/>
          </w:tcPr>
          <w:p>
            <w:r>
              <w:t>生均教学、实习仪器设备资产值</w:t>
            </w:r>
          </w:p>
        </w:tc>
        <w:tc>
          <w:tcPr>
            <w:tcW w:w="970" w:type="dxa"/>
            <w:vAlign w:val="top"/>
          </w:tcPr>
          <w:p>
            <w:r>
              <w:t>元</w:t>
            </w:r>
          </w:p>
        </w:tc>
        <w:tc>
          <w:tcPr>
            <w:tcW w:w="1359" w:type="dxa"/>
            <w:vAlign w:val="top"/>
          </w:tcPr>
          <w:p>
            <w:pPr>
              <w:rPr>
                <w:rFonts w:hint="default" w:eastAsiaTheme="minorEastAsia"/>
                <w:lang w:val="en-US" w:eastAsia="zh-CN"/>
              </w:rPr>
            </w:pPr>
            <w:r>
              <w:rPr>
                <w:rFonts w:hint="eastAsia"/>
                <w:lang w:val="en-US" w:eastAsia="zh-CN"/>
              </w:rPr>
              <w:t>7987.21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19</w:t>
            </w:r>
          </w:p>
        </w:tc>
        <w:tc>
          <w:tcPr>
            <w:tcW w:w="5542" w:type="dxa"/>
            <w:vAlign w:val="top"/>
          </w:tcPr>
          <w:p>
            <w:r>
              <w:t>年生均财政拨款</w:t>
            </w:r>
          </w:p>
        </w:tc>
        <w:tc>
          <w:tcPr>
            <w:tcW w:w="970" w:type="dxa"/>
            <w:vAlign w:val="top"/>
          </w:tcPr>
          <w:p>
            <w:r>
              <w:t>元</w:t>
            </w:r>
          </w:p>
        </w:tc>
        <w:tc>
          <w:tcPr>
            <w:tcW w:w="1359" w:type="dxa"/>
            <w:vAlign w:val="top"/>
          </w:tcPr>
          <w:p>
            <w:pPr>
              <w:rPr>
                <w:rFonts w:hint="default"/>
                <w:lang w:val="en-US"/>
              </w:rPr>
            </w:pPr>
            <w:r>
              <w:rPr>
                <w:rFonts w:hint="eastAsia"/>
                <w:lang w:val="en-US" w:eastAsia="zh-CN"/>
              </w:rPr>
              <w:t>2400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20</w:t>
            </w:r>
          </w:p>
        </w:tc>
        <w:tc>
          <w:tcPr>
            <w:tcW w:w="5542" w:type="dxa"/>
            <w:vAlign w:val="top"/>
          </w:tcPr>
          <w:p>
            <w:r>
              <w:t>纸质图书数</w:t>
            </w:r>
          </w:p>
        </w:tc>
        <w:tc>
          <w:tcPr>
            <w:tcW w:w="970" w:type="dxa"/>
            <w:vAlign w:val="top"/>
          </w:tcPr>
          <w:p>
            <w:r>
              <w:t>册</w:t>
            </w:r>
          </w:p>
        </w:tc>
        <w:tc>
          <w:tcPr>
            <w:tcW w:w="1359" w:type="dxa"/>
            <w:vAlign w:val="top"/>
          </w:tcPr>
          <w:p>
            <w:pPr>
              <w:rPr>
                <w:rFonts w:hint="default" w:eastAsiaTheme="minorEastAsia"/>
                <w:lang w:val="en-US" w:eastAsia="zh-CN"/>
              </w:rPr>
            </w:pPr>
            <w:r>
              <w:rPr>
                <w:rFonts w:hint="eastAsia"/>
                <w:lang w:val="en-US" w:eastAsia="zh-CN"/>
              </w:rPr>
              <w:t>98490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21</w:t>
            </w:r>
          </w:p>
        </w:tc>
        <w:tc>
          <w:tcPr>
            <w:tcW w:w="5542" w:type="dxa"/>
            <w:vAlign w:val="top"/>
          </w:tcPr>
          <w:p>
            <w:r>
              <w:t>电子图书资源数</w:t>
            </w:r>
          </w:p>
        </w:tc>
        <w:tc>
          <w:tcPr>
            <w:tcW w:w="970" w:type="dxa"/>
            <w:vAlign w:val="top"/>
          </w:tcPr>
          <w:p>
            <w:r>
              <w:t>册</w:t>
            </w:r>
          </w:p>
        </w:tc>
        <w:tc>
          <w:tcPr>
            <w:tcW w:w="1359" w:type="dxa"/>
            <w:vAlign w:val="top"/>
          </w:tcPr>
          <w:p>
            <w:pPr>
              <w:rPr>
                <w:rFonts w:hint="default" w:eastAsiaTheme="minorEastAsia"/>
                <w:lang w:val="en-US" w:eastAsia="zh-CN"/>
              </w:rPr>
            </w:pPr>
            <w:r>
              <w:rPr>
                <w:rFonts w:hint="eastAsia"/>
                <w:lang w:val="en-US" w:eastAsia="zh-CN"/>
              </w:rPr>
              <w:t>107487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22</w:t>
            </w:r>
          </w:p>
        </w:tc>
        <w:tc>
          <w:tcPr>
            <w:tcW w:w="5542" w:type="dxa"/>
            <w:vAlign w:val="top"/>
          </w:tcPr>
          <w:p>
            <w:r>
              <w:t>校园网主干最大带宽</w:t>
            </w:r>
          </w:p>
        </w:tc>
        <w:tc>
          <w:tcPr>
            <w:tcW w:w="970" w:type="dxa"/>
            <w:vAlign w:val="top"/>
          </w:tcPr>
          <w:p>
            <w:r>
              <w:t>Mbps</w:t>
            </w:r>
          </w:p>
        </w:tc>
        <w:tc>
          <w:tcPr>
            <w:tcW w:w="1359" w:type="dxa"/>
            <w:vAlign w:val="top"/>
          </w:tcPr>
          <w:p>
            <w:pPr>
              <w:rPr>
                <w:rFonts w:hint="default" w:eastAsiaTheme="minorEastAsia"/>
                <w:lang w:val="en-US" w:eastAsia="zh-CN"/>
              </w:rPr>
            </w:pPr>
            <w:r>
              <w:rPr>
                <w:rFonts w:hint="eastAsia"/>
                <w:lang w:val="en-US" w:eastAsia="zh-CN"/>
              </w:rPr>
              <w:t>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23</w:t>
            </w:r>
          </w:p>
        </w:tc>
        <w:tc>
          <w:tcPr>
            <w:tcW w:w="5542" w:type="dxa"/>
            <w:vAlign w:val="top"/>
          </w:tcPr>
          <w:p>
            <w:r>
              <w:t>教职员工额定编制数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186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r>
              <w:t>24</w:t>
            </w:r>
          </w:p>
        </w:tc>
        <w:tc>
          <w:tcPr>
            <w:tcW w:w="5542" w:type="dxa"/>
            <w:vAlign w:val="top"/>
          </w:tcPr>
          <w:p>
            <w:r>
              <w:t>教职员工总数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415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restart"/>
            <w:vAlign w:val="top"/>
          </w:tcPr>
          <w:p>
            <w:pPr>
              <w:rPr>
                <w:rFonts w:hint="default" w:eastAsiaTheme="minorEastAsia"/>
                <w:lang w:val="en-US" w:eastAsia="zh-CN"/>
              </w:rPr>
            </w:pPr>
            <w:r>
              <w:rPr>
                <w:rFonts w:hint="eastAsia"/>
                <w:lang w:val="en-US" w:eastAsia="zh-CN"/>
              </w:rPr>
              <w:t>25</w:t>
            </w:r>
          </w:p>
        </w:tc>
        <w:tc>
          <w:tcPr>
            <w:tcW w:w="5542" w:type="dxa"/>
            <w:vAlign w:val="top"/>
          </w:tcPr>
          <w:p>
            <w:r>
              <w:t>专任教师数</w:t>
            </w:r>
          </w:p>
        </w:tc>
        <w:tc>
          <w:tcPr>
            <w:tcW w:w="970" w:type="dxa"/>
            <w:vAlign w:val="top"/>
          </w:tcPr>
          <w:p>
            <w:pPr>
              <w:rPr>
                <w:color w:val="auto"/>
              </w:rPr>
            </w:pPr>
            <w:r>
              <w:rPr>
                <w:color w:val="auto"/>
              </w:rPr>
              <w:t>人</w:t>
            </w:r>
          </w:p>
        </w:tc>
        <w:tc>
          <w:tcPr>
            <w:tcW w:w="1359" w:type="dxa"/>
            <w:vAlign w:val="top"/>
          </w:tcPr>
          <w:p>
            <w:pPr>
              <w:rPr>
                <w:rFonts w:hint="default" w:eastAsiaTheme="minorEastAsia"/>
                <w:color w:val="auto"/>
                <w:lang w:val="en-US" w:eastAsia="zh-CN"/>
              </w:rPr>
            </w:pPr>
            <w:r>
              <w:rPr>
                <w:rFonts w:hint="eastAsia"/>
                <w:lang w:val="en-US" w:eastAsia="zh-CN"/>
              </w:rPr>
              <w:t>248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tc>
        <w:tc>
          <w:tcPr>
            <w:tcW w:w="5542" w:type="dxa"/>
            <w:vAlign w:val="top"/>
          </w:tcPr>
          <w:p>
            <w:r>
              <w:t>其中：专业教师数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113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eastAsiaTheme="minorEastAsia"/>
                <w:lang w:val="en-US" w:eastAsia="zh-CN"/>
              </w:rPr>
            </w:pPr>
            <w:r>
              <w:rPr>
                <w:rFonts w:hint="eastAsia"/>
                <w:lang w:val="en-US" w:eastAsia="zh-CN"/>
              </w:rPr>
              <w:t>26</w:t>
            </w:r>
          </w:p>
        </w:tc>
        <w:tc>
          <w:tcPr>
            <w:tcW w:w="5542" w:type="dxa"/>
            <w:vAlign w:val="top"/>
          </w:tcPr>
          <w:p>
            <w:r>
              <w:t>生师比</w:t>
            </w:r>
          </w:p>
        </w:tc>
        <w:tc>
          <w:tcPr>
            <w:tcW w:w="970" w:type="dxa"/>
            <w:vAlign w:val="top"/>
          </w:tcPr>
          <w:p>
            <w:r>
              <w:t>：</w:t>
            </w:r>
          </w:p>
        </w:tc>
        <w:tc>
          <w:tcPr>
            <w:tcW w:w="1359" w:type="dxa"/>
            <w:vAlign w:val="top"/>
          </w:tcPr>
          <w:p>
            <w:pPr>
              <w:rPr>
                <w:rFonts w:hint="default" w:eastAsiaTheme="minorEastAsia"/>
                <w:lang w:val="en-US" w:eastAsia="zh-CN"/>
              </w:rPr>
            </w:pPr>
            <w:r>
              <w:rPr>
                <w:rFonts w:hint="eastAsia"/>
                <w:lang w:val="en-US" w:eastAsia="zh-CN"/>
              </w:rPr>
              <w:t>1:11.33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eastAsiaTheme="minorEastAsia"/>
                <w:lang w:val="en-US" w:eastAsia="zh-CN"/>
              </w:rPr>
            </w:pPr>
            <w:r>
              <w:rPr>
                <w:rFonts w:hint="eastAsia"/>
                <w:lang w:val="en-US" w:eastAsia="zh-CN"/>
              </w:rPr>
              <w:t>27</w:t>
            </w:r>
          </w:p>
        </w:tc>
        <w:tc>
          <w:tcPr>
            <w:tcW w:w="5542" w:type="dxa"/>
            <w:vAlign w:val="top"/>
          </w:tcPr>
          <w:p>
            <w:r>
              <w:t>双师型教师总数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38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eastAsiaTheme="minorEastAsia"/>
                <w:lang w:val="en-US" w:eastAsia="zh-CN"/>
              </w:rPr>
            </w:pPr>
            <w:r>
              <w:rPr>
                <w:rFonts w:hint="eastAsia"/>
                <w:lang w:val="en-US" w:eastAsia="zh-CN"/>
              </w:rPr>
              <w:t>28</w:t>
            </w:r>
          </w:p>
        </w:tc>
        <w:tc>
          <w:tcPr>
            <w:tcW w:w="5542" w:type="dxa"/>
            <w:vAlign w:val="top"/>
          </w:tcPr>
          <w:p>
            <w:r>
              <w:t>高级专业技术职务专任教师占比</w:t>
            </w:r>
          </w:p>
        </w:tc>
        <w:tc>
          <w:tcPr>
            <w:tcW w:w="970" w:type="dxa"/>
            <w:vAlign w:val="top"/>
          </w:tcPr>
          <w:p>
            <w:r>
              <w:t>%</w:t>
            </w:r>
          </w:p>
        </w:tc>
        <w:tc>
          <w:tcPr>
            <w:tcW w:w="1359" w:type="dxa"/>
            <w:vAlign w:val="top"/>
          </w:tcPr>
          <w:p>
            <w:pPr>
              <w:rPr>
                <w:rFonts w:hint="default" w:eastAsiaTheme="minorEastAsia"/>
                <w:lang w:val="en-US" w:eastAsia="zh-CN"/>
              </w:rPr>
            </w:pPr>
            <w:r>
              <w:rPr>
                <w:rFonts w:hint="eastAsia"/>
                <w:lang w:val="en-US" w:eastAsia="zh-CN"/>
              </w:rPr>
              <w:t>18.18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lang w:val="en-US" w:eastAsia="zh-CN"/>
              </w:rPr>
            </w:pPr>
            <w:r>
              <w:t>29</w:t>
            </w:r>
          </w:p>
        </w:tc>
        <w:tc>
          <w:tcPr>
            <w:tcW w:w="5542" w:type="dxa"/>
            <w:vAlign w:val="top"/>
          </w:tcPr>
          <w:p>
            <w:r>
              <w:t>硕士研究生及以上学历专任教师占比</w:t>
            </w:r>
          </w:p>
        </w:tc>
        <w:tc>
          <w:tcPr>
            <w:tcW w:w="970" w:type="dxa"/>
            <w:vAlign w:val="top"/>
          </w:tcPr>
          <w:p>
            <w:r>
              <w:t>%</w:t>
            </w:r>
          </w:p>
        </w:tc>
        <w:tc>
          <w:tcPr>
            <w:tcW w:w="1359" w:type="dxa"/>
            <w:vAlign w:val="top"/>
          </w:tcPr>
          <w:p>
            <w:pPr>
              <w:rPr>
                <w:rFonts w:hint="default"/>
                <w:lang w:val="en-US"/>
              </w:rPr>
            </w:pPr>
            <w:r>
              <w:rPr>
                <w:rFonts w:hint="eastAsia"/>
                <w:lang w:val="en-US" w:eastAsia="zh-CN"/>
              </w:rPr>
              <w:t>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lang w:val="en-US" w:eastAsia="zh-CN"/>
              </w:rPr>
            </w:pPr>
            <w:r>
              <w:t>30</w:t>
            </w:r>
          </w:p>
        </w:tc>
        <w:tc>
          <w:tcPr>
            <w:tcW w:w="5542" w:type="dxa"/>
            <w:vAlign w:val="top"/>
          </w:tcPr>
          <w:p>
            <w:r>
              <w:t>兼职教师总数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lang w:val="en-US" w:eastAsia="zh-CN"/>
              </w:rPr>
            </w:pPr>
            <w:r>
              <w:t>31</w:t>
            </w:r>
          </w:p>
        </w:tc>
        <w:tc>
          <w:tcPr>
            <w:tcW w:w="5542" w:type="dxa"/>
            <w:vAlign w:val="top"/>
          </w:tcPr>
          <w:p>
            <w:r>
              <w:t>毕业生总数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1067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lang w:val="en-US" w:eastAsia="zh-CN"/>
              </w:rPr>
            </w:pPr>
            <w:r>
              <w:t>32</w:t>
            </w:r>
          </w:p>
        </w:tc>
        <w:tc>
          <w:tcPr>
            <w:tcW w:w="5542" w:type="dxa"/>
            <w:vAlign w:val="top"/>
          </w:tcPr>
          <w:p>
            <w:r>
              <w:t>就业人数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204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eastAsia"/>
                <w:lang w:val="en-US" w:eastAsia="zh-CN"/>
              </w:rPr>
            </w:pPr>
            <w:r>
              <w:t>33</w:t>
            </w:r>
          </w:p>
        </w:tc>
        <w:tc>
          <w:tcPr>
            <w:tcW w:w="5542" w:type="dxa"/>
            <w:vAlign w:val="top"/>
          </w:tcPr>
          <w:p>
            <w:r>
              <w:t xml:space="preserve">毕业生专业对口就业 </w:t>
            </w:r>
            <w:r>
              <w:rPr>
                <w:rFonts w:hint="eastAsia"/>
                <w:lang w:eastAsia="zh-CN"/>
              </w:rPr>
              <w:t>（</w:t>
            </w:r>
            <w:r>
              <w:t>升学</w:t>
            </w:r>
            <w:r>
              <w:rPr>
                <w:rFonts w:hint="eastAsia"/>
                <w:lang w:eastAsia="zh-CN"/>
              </w:rPr>
              <w:t>）</w:t>
            </w:r>
            <w:r>
              <w:t xml:space="preserve"> 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restart"/>
            <w:vAlign w:val="top"/>
          </w:tcPr>
          <w:p>
            <w:pPr>
              <w:rPr>
                <w:rFonts w:hint="default" w:eastAsiaTheme="minorEastAsia"/>
                <w:lang w:val="en-US" w:eastAsia="zh-CN"/>
              </w:rPr>
            </w:pPr>
            <w:r>
              <w:rPr>
                <w:rFonts w:hint="eastAsia"/>
                <w:lang w:val="en-US" w:eastAsia="zh-CN"/>
              </w:rPr>
              <w:t>34</w:t>
            </w:r>
          </w:p>
        </w:tc>
        <w:tc>
          <w:tcPr>
            <w:tcW w:w="5542" w:type="dxa"/>
            <w:vAlign w:val="top"/>
          </w:tcPr>
          <w:p>
            <w:r>
              <w:t>毕业生服务三次产业人数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pPr>
              <w:rPr>
                <w:rFonts w:hint="default"/>
                <w:lang w:val="en-US" w:eastAsia="zh-CN"/>
              </w:rPr>
            </w:pPr>
          </w:p>
        </w:tc>
        <w:tc>
          <w:tcPr>
            <w:tcW w:w="5542" w:type="dxa"/>
            <w:vAlign w:val="top"/>
          </w:tcPr>
          <w:p>
            <w:r>
              <w:t>其中：服务第一产业人数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pPr>
              <w:rPr>
                <w:rFonts w:hint="default"/>
                <w:lang w:val="en-US" w:eastAsia="zh-CN"/>
              </w:rPr>
            </w:pPr>
          </w:p>
        </w:tc>
        <w:tc>
          <w:tcPr>
            <w:tcW w:w="5542" w:type="dxa"/>
            <w:vAlign w:val="top"/>
          </w:tcPr>
          <w:p>
            <w:r>
              <w:t>服务第二产业人数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Merge w:val="continue"/>
            <w:vAlign w:val="top"/>
          </w:tcPr>
          <w:p>
            <w:pPr>
              <w:rPr>
                <w:rFonts w:hint="default"/>
                <w:lang w:val="en-US" w:eastAsia="zh-CN"/>
              </w:rPr>
            </w:pPr>
          </w:p>
        </w:tc>
        <w:tc>
          <w:tcPr>
            <w:tcW w:w="5542" w:type="dxa"/>
            <w:vAlign w:val="top"/>
          </w:tcPr>
          <w:p>
            <w:r>
              <w:t>服务第三产业人数</w:t>
            </w:r>
          </w:p>
        </w:tc>
        <w:tc>
          <w:tcPr>
            <w:tcW w:w="970" w:type="dxa"/>
            <w:vAlign w:val="top"/>
          </w:tcPr>
          <w:p>
            <w:r>
              <w:t>人</w:t>
            </w:r>
          </w:p>
        </w:tc>
        <w:tc>
          <w:tcPr>
            <w:tcW w:w="1359" w:type="dxa"/>
            <w:vAlign w:val="top"/>
          </w:tcPr>
          <w:p>
            <w:pPr>
              <w:rPr>
                <w:rFonts w:hint="default" w:eastAsiaTheme="minorEastAsia"/>
                <w:lang w:val="en-US" w:eastAsia="zh-CN"/>
              </w:rPr>
            </w:pPr>
            <w:r>
              <w:rPr>
                <w:rFonts w:hint="eastAsia"/>
                <w:lang w:val="en-US" w:eastAsia="zh-CN"/>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lang w:val="en-US" w:eastAsia="zh-CN"/>
              </w:rPr>
            </w:pPr>
            <w:r>
              <w:rPr>
                <w:rFonts w:hint="eastAsia"/>
                <w:lang w:val="en-US" w:eastAsia="zh-CN"/>
              </w:rPr>
              <w:t>35</w:t>
            </w:r>
          </w:p>
        </w:tc>
        <w:tc>
          <w:tcPr>
            <w:tcW w:w="5542" w:type="dxa"/>
            <w:vAlign w:val="top"/>
          </w:tcPr>
          <w:p>
            <w:r>
              <w:t>合作企业接收教师企业实践人数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lang w:val="en-US" w:eastAsia="zh-CN"/>
              </w:rPr>
            </w:pPr>
            <w:r>
              <w:t>36</w:t>
            </w:r>
          </w:p>
        </w:tc>
        <w:tc>
          <w:tcPr>
            <w:tcW w:w="5542" w:type="dxa"/>
            <w:vAlign w:val="top"/>
          </w:tcPr>
          <w:p>
            <w:r>
              <w:t>合作企业接收学生实习比例</w:t>
            </w:r>
          </w:p>
        </w:tc>
        <w:tc>
          <w:tcPr>
            <w:tcW w:w="970" w:type="dxa"/>
            <w:vAlign w:val="top"/>
          </w:tcPr>
          <w:p>
            <w:r>
              <w:t>%</w:t>
            </w:r>
          </w:p>
        </w:tc>
        <w:tc>
          <w:tcPr>
            <w:tcW w:w="1359" w:type="dxa"/>
            <w:vAlign w:val="top"/>
          </w:tcPr>
          <w:p>
            <w:pPr>
              <w:rPr>
                <w:rFonts w:hint="default" w:eastAsiaTheme="minorEastAsia"/>
                <w:lang w:val="en-US" w:eastAsia="zh-CN"/>
              </w:rPr>
            </w:pPr>
            <w:r>
              <w:rPr>
                <w:rFonts w:hint="eastAsia"/>
                <w:lang w:val="en-US" w:eastAsia="zh-CN"/>
              </w:rPr>
              <w:t>70.59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lang w:val="en-US" w:eastAsia="zh-CN"/>
              </w:rPr>
            </w:pPr>
            <w:r>
              <w:t>37</w:t>
            </w:r>
          </w:p>
        </w:tc>
        <w:tc>
          <w:tcPr>
            <w:tcW w:w="5542" w:type="dxa"/>
            <w:vAlign w:val="top"/>
          </w:tcPr>
          <w:p>
            <w:r>
              <w:t>企业对学校捐赠设备总值</w:t>
            </w:r>
          </w:p>
        </w:tc>
        <w:tc>
          <w:tcPr>
            <w:tcW w:w="970" w:type="dxa"/>
            <w:vAlign w:val="top"/>
          </w:tcPr>
          <w:p>
            <w:r>
              <w:t>万元</w:t>
            </w:r>
          </w:p>
        </w:tc>
        <w:tc>
          <w:tcPr>
            <w:tcW w:w="1359" w:type="dxa"/>
            <w:vAlign w:val="top"/>
          </w:tcPr>
          <w:p>
            <w:pPr>
              <w:rPr>
                <w:rFonts w:hint="default" w:eastAsiaTheme="minorEastAsia"/>
                <w:lang w:val="en-US" w:eastAsia="zh-CN"/>
              </w:rPr>
            </w:pPr>
            <w:r>
              <w:rPr>
                <w:rFonts w:hint="eastAsia"/>
                <w:lang w:val="en-US" w:eastAsia="zh-CN"/>
              </w:rPr>
              <w:t>6</w:t>
            </w:r>
            <w:bookmarkStart w:id="15" w:name="_GoBack"/>
            <w:bookmarkEnd w:id="15"/>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lang w:val="en-US" w:eastAsia="zh-CN"/>
              </w:rPr>
            </w:pPr>
            <w:r>
              <w:t>38</w:t>
            </w:r>
          </w:p>
        </w:tc>
        <w:tc>
          <w:tcPr>
            <w:tcW w:w="5542" w:type="dxa"/>
            <w:vAlign w:val="top"/>
          </w:tcPr>
          <w:p>
            <w:r>
              <w:t>接收国际学生人数</w:t>
            </w:r>
          </w:p>
        </w:tc>
        <w:tc>
          <w:tcPr>
            <w:tcW w:w="970" w:type="dxa"/>
            <w:vAlign w:val="top"/>
          </w:tcPr>
          <w:p>
            <w:r>
              <w:t>人</w:t>
            </w:r>
          </w:p>
        </w:tc>
        <w:tc>
          <w:tcPr>
            <w:tcW w:w="1359" w:type="dxa"/>
            <w:vAlign w:val="top"/>
          </w:tcPr>
          <w:p>
            <w:pPr>
              <w:rPr>
                <w:rFonts w:hint="eastAsia"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8" w:type="dxa"/>
            <w:vAlign w:val="top"/>
          </w:tcPr>
          <w:p>
            <w:pPr>
              <w:rPr>
                <w:rFonts w:hint="default"/>
                <w:lang w:val="en-US" w:eastAsia="zh-CN"/>
              </w:rPr>
            </w:pPr>
            <w:r>
              <w:t>39</w:t>
            </w:r>
          </w:p>
        </w:tc>
        <w:tc>
          <w:tcPr>
            <w:tcW w:w="5542" w:type="dxa"/>
            <w:vAlign w:val="top"/>
          </w:tcPr>
          <w:p>
            <w:r>
              <w:t>开展分段培养中外合作专业数</w:t>
            </w:r>
          </w:p>
        </w:tc>
        <w:tc>
          <w:tcPr>
            <w:tcW w:w="970" w:type="dxa"/>
            <w:vAlign w:val="top"/>
          </w:tcPr>
          <w:p>
            <w:r>
              <w:t>个</w:t>
            </w:r>
          </w:p>
        </w:tc>
        <w:tc>
          <w:tcPr>
            <w:tcW w:w="1359" w:type="dxa"/>
            <w:vAlign w:val="top"/>
          </w:tcPr>
          <w:p>
            <w:pPr>
              <w:rPr>
                <w:rFonts w:hint="eastAsia" w:eastAsiaTheme="minorEastAsia"/>
                <w:lang w:val="en-US" w:eastAsia="zh-CN"/>
              </w:rPr>
            </w:pPr>
            <w:r>
              <w:rPr>
                <w:rFonts w:hint="eastAsia"/>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828" w:type="dxa"/>
            <w:vAlign w:val="top"/>
          </w:tcPr>
          <w:p>
            <w:pPr>
              <w:rPr>
                <w:rFonts w:hint="default"/>
                <w:lang w:val="en-US" w:eastAsia="zh-CN"/>
              </w:rPr>
            </w:pPr>
            <w:r>
              <w:t>40</w:t>
            </w:r>
          </w:p>
        </w:tc>
        <w:tc>
          <w:tcPr>
            <w:tcW w:w="5542" w:type="dxa"/>
            <w:vAlign w:val="top"/>
          </w:tcPr>
          <w:p>
            <w:r>
              <w:t xml:space="preserve">开发并被国  </w:t>
            </w:r>
            <w:r>
              <w:rPr>
                <w:rFonts w:hint="eastAsia"/>
                <w:lang w:eastAsia="zh-CN"/>
              </w:rPr>
              <w:t>（</w:t>
            </w:r>
            <w:r>
              <w:t>境</w:t>
            </w:r>
            <w:r>
              <w:rPr>
                <w:rFonts w:hint="eastAsia"/>
                <w:lang w:eastAsia="zh-CN"/>
              </w:rPr>
              <w:t>）</w:t>
            </w:r>
            <w:r>
              <w:t xml:space="preserve"> 外采用的课程数</w:t>
            </w:r>
          </w:p>
        </w:tc>
        <w:tc>
          <w:tcPr>
            <w:tcW w:w="970" w:type="dxa"/>
            <w:vAlign w:val="top"/>
          </w:tcPr>
          <w:p>
            <w:r>
              <w:t>门</w:t>
            </w:r>
          </w:p>
        </w:tc>
        <w:tc>
          <w:tcPr>
            <w:tcW w:w="1359" w:type="dxa"/>
            <w:vAlign w:val="top"/>
          </w:tcPr>
          <w:p>
            <w:pPr>
              <w:rPr>
                <w:rFonts w:hint="eastAsia" w:eastAsiaTheme="minorEastAsia"/>
                <w:lang w:val="en-US" w:eastAsia="zh-CN"/>
              </w:rPr>
            </w:pPr>
            <w:r>
              <w:rPr>
                <w:rFonts w:hint="eastAsia"/>
                <w:lang w:val="en-US" w:eastAsia="zh-CN"/>
              </w:rPr>
              <w:t>0</w:t>
            </w:r>
          </w:p>
        </w:tc>
      </w:tr>
    </w:tbl>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rPr>
          <w:b/>
          <w:bCs/>
          <w:color w:val="FF0000"/>
        </w:rPr>
      </w:pPr>
    </w:p>
    <w:p>
      <w:pPr>
        <w:pStyle w:val="2"/>
        <w:rPr>
          <w:b/>
          <w:bCs/>
          <w:color w:val="FF0000"/>
        </w:rPr>
      </w:pPr>
    </w:p>
    <w:p>
      <w:pPr>
        <w:pStyle w:val="3"/>
        <w:rPr>
          <w:b/>
          <w:bCs/>
          <w:color w:val="FF0000"/>
        </w:rPr>
      </w:pPr>
    </w:p>
    <w:p>
      <w:pPr>
        <w:rPr>
          <w:b/>
          <w:bCs/>
          <w:color w:val="FF0000"/>
        </w:rPr>
      </w:pPr>
    </w:p>
    <w:p>
      <w:pPr>
        <w:pStyle w:val="2"/>
      </w:pPr>
    </w:p>
    <w:p>
      <w:pPr>
        <w:rPr>
          <w:b/>
          <w:bCs/>
          <w:color w:val="FF0000"/>
        </w:rPr>
      </w:pPr>
    </w:p>
    <w:p>
      <w:pPr>
        <w:rPr>
          <w:b/>
          <w:bCs/>
          <w:color w:val="FF0000"/>
        </w:rPr>
      </w:pPr>
    </w:p>
    <w:p>
      <w:pPr>
        <w:pStyle w:val="2"/>
      </w:pPr>
    </w:p>
    <w:p>
      <w:pPr>
        <w:rPr>
          <w:b/>
          <w:bCs/>
          <w:color w:val="FF0000"/>
        </w:rPr>
      </w:pPr>
    </w:p>
    <w:p>
      <w:pPr>
        <w:rPr>
          <w:b/>
          <w:bCs/>
          <w:color w:val="FF0000"/>
        </w:rPr>
      </w:pPr>
      <w:r>
        <w:rPr>
          <w:b/>
          <w:bCs/>
          <w:color w:val="FF0000"/>
        </w:rPr>
        <w:t>表 2  中等职业教育满意度调查表</w:t>
      </w:r>
    </w:p>
    <w:p>
      <w:r>
        <w:t>名称：</w:t>
      </w:r>
    </w:p>
    <w:tbl>
      <w:tblPr>
        <w:tblStyle w:val="32"/>
        <w:tblW w:w="8636" w:type="dxa"/>
        <w:tblInd w:w="16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4"/>
        <w:gridCol w:w="2796"/>
        <w:gridCol w:w="630"/>
        <w:gridCol w:w="1065"/>
        <w:gridCol w:w="1260"/>
        <w:gridCol w:w="212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Align w:val="top"/>
          </w:tcPr>
          <w:p>
            <w:pPr>
              <w:jc w:val="center"/>
              <w:rPr>
                <w:rFonts w:hint="eastAsia"/>
                <w:lang w:val="en-US" w:eastAsia="zh-CN"/>
              </w:rPr>
            </w:pPr>
            <w:r>
              <w:t>序号</w:t>
            </w:r>
          </w:p>
        </w:tc>
        <w:tc>
          <w:tcPr>
            <w:tcW w:w="2796" w:type="dxa"/>
            <w:vAlign w:val="top"/>
          </w:tcPr>
          <w:p>
            <w:pPr>
              <w:jc w:val="center"/>
            </w:pPr>
            <w:r>
              <w:t>指标</w:t>
            </w:r>
          </w:p>
        </w:tc>
        <w:tc>
          <w:tcPr>
            <w:tcW w:w="630" w:type="dxa"/>
            <w:vAlign w:val="top"/>
          </w:tcPr>
          <w:p>
            <w:pPr>
              <w:jc w:val="center"/>
            </w:pPr>
            <w:r>
              <w:t>单位</w:t>
            </w:r>
          </w:p>
        </w:tc>
        <w:tc>
          <w:tcPr>
            <w:tcW w:w="1065" w:type="dxa"/>
            <w:vAlign w:val="top"/>
          </w:tcPr>
          <w:p>
            <w:pPr>
              <w:jc w:val="center"/>
            </w:pPr>
            <w:r>
              <w:t>2022 年</w:t>
            </w:r>
          </w:p>
        </w:tc>
        <w:tc>
          <w:tcPr>
            <w:tcW w:w="1260" w:type="dxa"/>
            <w:vAlign w:val="top"/>
          </w:tcPr>
          <w:p>
            <w:pPr>
              <w:jc w:val="center"/>
            </w:pPr>
            <w:r>
              <w:t>调查人次</w:t>
            </w:r>
          </w:p>
        </w:tc>
        <w:tc>
          <w:tcPr>
            <w:tcW w:w="2121" w:type="dxa"/>
            <w:vAlign w:val="top"/>
          </w:tcPr>
          <w:p>
            <w:pPr>
              <w:jc w:val="center"/>
            </w:pPr>
            <w:r>
              <w:t>调查方式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restart"/>
            <w:vAlign w:val="top"/>
          </w:tcPr>
          <w:p>
            <w:pPr>
              <w:jc w:val="center"/>
              <w:rPr>
                <w:rFonts w:hint="default"/>
                <w:lang w:val="en-US" w:eastAsia="zh-CN"/>
              </w:rPr>
            </w:pPr>
            <w:r>
              <w:rPr>
                <w:rFonts w:hint="eastAsia"/>
                <w:lang w:val="en-US" w:eastAsia="zh-CN"/>
              </w:rPr>
              <w:t>1</w:t>
            </w:r>
          </w:p>
        </w:tc>
        <w:tc>
          <w:tcPr>
            <w:tcW w:w="2796" w:type="dxa"/>
            <w:vAlign w:val="top"/>
          </w:tcPr>
          <w:p>
            <w:pPr>
              <w:jc w:val="left"/>
            </w:pPr>
            <w:r>
              <w:t>在校生满意度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95</w:t>
            </w:r>
          </w:p>
        </w:tc>
        <w:tc>
          <w:tcPr>
            <w:tcW w:w="1260" w:type="dxa"/>
            <w:vAlign w:val="center"/>
          </w:tcPr>
          <w:p>
            <w:pPr>
              <w:jc w:val="center"/>
              <w:rPr>
                <w:rFonts w:hint="default"/>
                <w:lang w:val="en-US" w:eastAsia="zh-CN"/>
              </w:rPr>
            </w:pPr>
            <w:r>
              <w:rPr>
                <w:rFonts w:hint="eastAsia" w:ascii="宋体" w:hAnsi="宋体" w:eastAsia="宋体" w:cs="宋体"/>
                <w:sz w:val="24"/>
                <w:szCs w:val="24"/>
                <w:lang w:val="en-US" w:eastAsia="zh-CN"/>
              </w:rPr>
              <w:t>253</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rPr>
                <w:rFonts w:hint="eastAsia"/>
                <w:lang w:val="en-US" w:eastAsia="zh-CN"/>
              </w:rPr>
            </w:pPr>
          </w:p>
        </w:tc>
        <w:tc>
          <w:tcPr>
            <w:tcW w:w="2796" w:type="dxa"/>
            <w:vAlign w:val="top"/>
          </w:tcPr>
          <w:p>
            <w:pPr>
              <w:jc w:val="left"/>
            </w:pPr>
            <w:r>
              <w:t>其中：课堂育人满意度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94.6</w:t>
            </w:r>
          </w:p>
        </w:tc>
        <w:tc>
          <w:tcPr>
            <w:tcW w:w="1260" w:type="dxa"/>
            <w:vAlign w:val="center"/>
          </w:tcPr>
          <w:p>
            <w:pPr>
              <w:jc w:val="center"/>
              <w:rPr>
                <w:rFonts w:hint="default"/>
                <w:lang w:val="en-US" w:eastAsia="zh-CN"/>
              </w:rPr>
            </w:pPr>
            <w:r>
              <w:rPr>
                <w:rFonts w:hint="eastAsia" w:ascii="宋体" w:hAnsi="宋体" w:eastAsia="宋体" w:cs="宋体"/>
                <w:sz w:val="24"/>
                <w:szCs w:val="24"/>
                <w:lang w:val="en-US" w:eastAsia="zh-CN"/>
              </w:rPr>
              <w:t>235</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rPr>
                <w:rFonts w:hint="eastAsia"/>
                <w:lang w:val="en-US" w:eastAsia="zh-CN"/>
              </w:rPr>
            </w:pPr>
          </w:p>
        </w:tc>
        <w:tc>
          <w:tcPr>
            <w:tcW w:w="2796" w:type="dxa"/>
            <w:vAlign w:val="top"/>
          </w:tcPr>
          <w:p>
            <w:pPr>
              <w:jc w:val="left"/>
            </w:pPr>
            <w:r>
              <w:t>课外育人满意度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kern w:val="2"/>
                <w:sz w:val="24"/>
                <w:szCs w:val="24"/>
                <w:lang w:val="en-US" w:eastAsia="zh-CN" w:bidi="ar-SA"/>
              </w:rPr>
              <w:t>96</w:t>
            </w:r>
          </w:p>
        </w:tc>
        <w:tc>
          <w:tcPr>
            <w:tcW w:w="1260" w:type="dxa"/>
            <w:vAlign w:val="center"/>
          </w:tcPr>
          <w:p>
            <w:pPr>
              <w:jc w:val="center"/>
              <w:rPr>
                <w:rFonts w:hint="default"/>
                <w:lang w:val="en-US" w:eastAsia="zh-CN"/>
              </w:rPr>
            </w:pPr>
            <w:r>
              <w:rPr>
                <w:rFonts w:hint="eastAsia" w:ascii="宋体" w:hAnsi="宋体" w:eastAsia="宋体" w:cs="宋体"/>
                <w:kern w:val="2"/>
                <w:sz w:val="24"/>
                <w:szCs w:val="24"/>
                <w:lang w:val="en-US" w:eastAsia="zh-CN" w:bidi="ar-SA"/>
              </w:rPr>
              <w:t>200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rPr>
                <w:rFonts w:hint="eastAsia"/>
                <w:lang w:val="en-US" w:eastAsia="zh-CN"/>
              </w:rPr>
            </w:pPr>
          </w:p>
        </w:tc>
        <w:tc>
          <w:tcPr>
            <w:tcW w:w="2796" w:type="dxa"/>
            <w:vAlign w:val="top"/>
          </w:tcPr>
          <w:p>
            <w:pPr>
              <w:jc w:val="left"/>
            </w:pPr>
            <w:r>
              <w:t>思想政治课教学满意度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99.7</w:t>
            </w:r>
          </w:p>
        </w:tc>
        <w:tc>
          <w:tcPr>
            <w:tcW w:w="1260" w:type="dxa"/>
            <w:vAlign w:val="center"/>
          </w:tcPr>
          <w:p>
            <w:pPr>
              <w:jc w:val="center"/>
              <w:rPr>
                <w:rFonts w:hint="default"/>
                <w:lang w:val="en-US" w:eastAsia="zh-CN"/>
              </w:rPr>
            </w:pPr>
            <w:r>
              <w:rPr>
                <w:rFonts w:hint="eastAsia" w:ascii="宋体" w:hAnsi="宋体" w:eastAsia="宋体" w:cs="宋体"/>
                <w:sz w:val="24"/>
                <w:szCs w:val="24"/>
                <w:lang w:val="en-US" w:eastAsia="zh-CN"/>
              </w:rPr>
              <w:t>231</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764" w:type="dxa"/>
            <w:vMerge w:val="continue"/>
            <w:vAlign w:val="top"/>
          </w:tcPr>
          <w:p>
            <w:pPr>
              <w:jc w:val="center"/>
              <w:rPr>
                <w:rFonts w:hint="eastAsia"/>
                <w:lang w:val="en-US" w:eastAsia="zh-CN"/>
              </w:rPr>
            </w:pPr>
          </w:p>
        </w:tc>
        <w:tc>
          <w:tcPr>
            <w:tcW w:w="2796" w:type="dxa"/>
            <w:vAlign w:val="top"/>
          </w:tcPr>
          <w:p>
            <w:pPr>
              <w:jc w:val="left"/>
            </w:pPr>
            <w:r>
              <w:t xml:space="preserve">公共基础课 </w:t>
            </w:r>
            <w:r>
              <w:rPr>
                <w:rFonts w:hint="eastAsia"/>
                <w:lang w:eastAsia="zh-CN"/>
              </w:rPr>
              <w:t>（</w:t>
            </w:r>
            <w:r>
              <w:t>不含思想政治课</w:t>
            </w:r>
            <w:r>
              <w:rPr>
                <w:rFonts w:hint="eastAsia"/>
                <w:lang w:eastAsia="zh-CN"/>
              </w:rPr>
              <w:t>）</w:t>
            </w:r>
            <w:r>
              <w:t xml:space="preserve"> 教学满意度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94.5</w:t>
            </w:r>
          </w:p>
        </w:tc>
        <w:tc>
          <w:tcPr>
            <w:tcW w:w="1260" w:type="dxa"/>
            <w:vAlign w:val="center"/>
          </w:tcPr>
          <w:p>
            <w:pPr>
              <w:jc w:val="center"/>
              <w:rPr>
                <w:rFonts w:hint="default"/>
                <w:lang w:val="en-US" w:eastAsia="zh-CN"/>
              </w:rPr>
            </w:pPr>
            <w:r>
              <w:rPr>
                <w:rFonts w:hint="eastAsia" w:ascii="宋体" w:hAnsi="宋体" w:eastAsia="宋体" w:cs="宋体"/>
                <w:sz w:val="24"/>
                <w:szCs w:val="24"/>
                <w:lang w:val="en-US" w:eastAsia="zh-CN"/>
              </w:rPr>
              <w:t>208</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rPr>
                <w:rFonts w:hint="eastAsia"/>
                <w:lang w:val="en-US" w:eastAsia="zh-CN"/>
              </w:rPr>
            </w:pPr>
          </w:p>
        </w:tc>
        <w:tc>
          <w:tcPr>
            <w:tcW w:w="2796" w:type="dxa"/>
            <w:vAlign w:val="top"/>
          </w:tcPr>
          <w:p>
            <w:pPr>
              <w:jc w:val="left"/>
            </w:pPr>
            <w:r>
              <w:t>专业课教学满意度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94.3</w:t>
            </w:r>
          </w:p>
        </w:tc>
        <w:tc>
          <w:tcPr>
            <w:tcW w:w="1260" w:type="dxa"/>
            <w:vAlign w:val="center"/>
          </w:tcPr>
          <w:p>
            <w:pPr>
              <w:jc w:val="center"/>
              <w:rPr>
                <w:rFonts w:hint="default"/>
                <w:lang w:val="en-US" w:eastAsia="zh-CN"/>
              </w:rPr>
            </w:pPr>
            <w:r>
              <w:rPr>
                <w:rFonts w:hint="eastAsia" w:ascii="宋体" w:hAnsi="宋体" w:eastAsia="宋体" w:cs="宋体"/>
                <w:sz w:val="24"/>
                <w:szCs w:val="24"/>
                <w:lang w:val="en-US" w:eastAsia="zh-CN"/>
              </w:rPr>
              <w:t>218</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rPr>
                <w:rFonts w:hint="eastAsia"/>
                <w:lang w:val="en-US" w:eastAsia="zh-CN"/>
              </w:rPr>
            </w:pPr>
            <w:r>
              <w:rPr>
                <w:rFonts w:hint="eastAsia" w:ascii="宋体" w:hAnsi="宋体" w:eastAsia="宋体" w:cs="宋体"/>
                <w:i w:val="0"/>
                <w:iCs w:val="0"/>
                <w:caps w:val="0"/>
                <w:color w:val="222222"/>
                <w:spacing w:val="8"/>
                <w:kern w:val="0"/>
                <w:sz w:val="24"/>
                <w:szCs w:val="24"/>
                <w:lang w:val="en-US" w:eastAsia="zh-CN" w:bidi="ar"/>
              </w:rPr>
              <w:t>调查表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restart"/>
            <w:vAlign w:val="top"/>
          </w:tcPr>
          <w:p>
            <w:pPr>
              <w:jc w:val="center"/>
              <w:rPr>
                <w:rFonts w:hint="eastAsia" w:eastAsiaTheme="minorEastAsia"/>
                <w:lang w:val="en-US" w:eastAsia="zh-CN"/>
              </w:rPr>
            </w:pPr>
            <w:r>
              <w:rPr>
                <w:rFonts w:hint="eastAsia"/>
                <w:lang w:val="en-US" w:eastAsia="zh-CN"/>
              </w:rPr>
              <w:t>2</w:t>
            </w:r>
          </w:p>
        </w:tc>
        <w:tc>
          <w:tcPr>
            <w:tcW w:w="2796" w:type="dxa"/>
            <w:vAlign w:val="top"/>
          </w:tcPr>
          <w:p>
            <w:pPr>
              <w:jc w:val="left"/>
            </w:pPr>
            <w:r>
              <w:t>毕业生满意度</w:t>
            </w:r>
          </w:p>
        </w:tc>
        <w:tc>
          <w:tcPr>
            <w:tcW w:w="630" w:type="dxa"/>
            <w:vAlign w:val="top"/>
          </w:tcPr>
          <w:p>
            <w:pPr>
              <w:jc w:val="center"/>
            </w:pPr>
            <w:r>
              <w:t>——</w:t>
            </w:r>
          </w:p>
        </w:tc>
        <w:tc>
          <w:tcPr>
            <w:tcW w:w="1065" w:type="dxa"/>
            <w:vAlign w:val="center"/>
          </w:tcPr>
          <w:p>
            <w:pPr>
              <w:jc w:val="center"/>
            </w:pPr>
            <w:r>
              <w:rPr>
                <w:rFonts w:hint="eastAsia" w:ascii="宋体" w:hAnsi="宋体" w:eastAsia="宋体" w:cs="宋体"/>
                <w:color w:val="auto"/>
                <w:sz w:val="24"/>
                <w:szCs w:val="24"/>
                <w:vertAlign w:val="baseline"/>
                <w:lang w:val="en-US" w:eastAsia="zh-CN"/>
              </w:rPr>
              <w:t>99.3</w:t>
            </w:r>
          </w:p>
        </w:tc>
        <w:tc>
          <w:tcPr>
            <w:tcW w:w="1260" w:type="dxa"/>
            <w:vAlign w:val="center"/>
          </w:tcPr>
          <w:p>
            <w:pPr>
              <w:jc w:val="center"/>
            </w:pPr>
            <w:r>
              <w:rPr>
                <w:rFonts w:hint="eastAsia" w:ascii="宋体" w:hAnsi="宋体" w:eastAsia="宋体" w:cs="宋体"/>
                <w:color w:val="auto"/>
                <w:sz w:val="24"/>
                <w:szCs w:val="24"/>
                <w:vertAlign w:val="baseline"/>
                <w:lang w:val="en-US" w:eastAsia="zh-CN"/>
              </w:rPr>
              <w:t>320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pPr>
          </w:p>
        </w:tc>
        <w:tc>
          <w:tcPr>
            <w:tcW w:w="2796" w:type="dxa"/>
            <w:vAlign w:val="top"/>
          </w:tcPr>
          <w:p>
            <w:pPr>
              <w:jc w:val="left"/>
            </w:pPr>
            <w:r>
              <w:t>其中：应届毕业生满意度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98.2</w:t>
            </w:r>
          </w:p>
        </w:tc>
        <w:tc>
          <w:tcPr>
            <w:tcW w:w="1260" w:type="dxa"/>
            <w:vAlign w:val="center"/>
          </w:tcPr>
          <w:p>
            <w:pPr>
              <w:jc w:val="center"/>
            </w:pPr>
            <w:r>
              <w:rPr>
                <w:rFonts w:hint="eastAsia" w:ascii="宋体" w:hAnsi="宋体" w:eastAsia="宋体" w:cs="宋体"/>
                <w:color w:val="auto"/>
                <w:sz w:val="24"/>
                <w:szCs w:val="24"/>
                <w:vertAlign w:val="baseline"/>
                <w:lang w:val="en-US" w:eastAsia="zh-CN"/>
              </w:rPr>
              <w:t>240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Merge w:val="continue"/>
            <w:vAlign w:val="top"/>
          </w:tcPr>
          <w:p>
            <w:pPr>
              <w:jc w:val="center"/>
            </w:pPr>
          </w:p>
        </w:tc>
        <w:tc>
          <w:tcPr>
            <w:tcW w:w="2796" w:type="dxa"/>
            <w:vAlign w:val="top"/>
          </w:tcPr>
          <w:p>
            <w:pPr>
              <w:jc w:val="left"/>
            </w:pPr>
            <w:r>
              <w:t>毕业三年内毕业生满意度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97.6</w:t>
            </w:r>
          </w:p>
        </w:tc>
        <w:tc>
          <w:tcPr>
            <w:tcW w:w="1260" w:type="dxa"/>
            <w:vAlign w:val="center"/>
          </w:tcPr>
          <w:p>
            <w:pPr>
              <w:jc w:val="center"/>
            </w:pPr>
            <w:r>
              <w:rPr>
                <w:rFonts w:hint="eastAsia" w:ascii="宋体" w:hAnsi="宋体" w:eastAsia="宋体" w:cs="宋体"/>
                <w:color w:val="auto"/>
                <w:sz w:val="24"/>
                <w:szCs w:val="24"/>
                <w:vertAlign w:val="baseline"/>
                <w:lang w:val="en-US" w:eastAsia="zh-CN"/>
              </w:rPr>
              <w:t>80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电话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764" w:type="dxa"/>
            <w:vAlign w:val="top"/>
          </w:tcPr>
          <w:p>
            <w:pPr>
              <w:jc w:val="center"/>
            </w:pPr>
            <w:r>
              <w:t>3</w:t>
            </w:r>
          </w:p>
        </w:tc>
        <w:tc>
          <w:tcPr>
            <w:tcW w:w="2796" w:type="dxa"/>
            <w:vAlign w:val="top"/>
          </w:tcPr>
          <w:p>
            <w:pPr>
              <w:jc w:val="left"/>
            </w:pPr>
            <w:r>
              <w:t>教职工满意度</w:t>
            </w:r>
          </w:p>
        </w:tc>
        <w:tc>
          <w:tcPr>
            <w:tcW w:w="630" w:type="dxa"/>
            <w:vAlign w:val="top"/>
          </w:tcPr>
          <w:p>
            <w:pPr>
              <w:jc w:val="center"/>
            </w:pPr>
            <w:r>
              <w:t>%</w:t>
            </w:r>
          </w:p>
        </w:tc>
        <w:tc>
          <w:tcPr>
            <w:tcW w:w="1065" w:type="dxa"/>
            <w:vAlign w:val="center"/>
          </w:tcPr>
          <w:p>
            <w:pPr>
              <w:jc w:val="center"/>
            </w:pPr>
            <w:r>
              <w:rPr>
                <w:rFonts w:hint="eastAsia" w:ascii="宋体" w:hAnsi="宋体" w:eastAsia="宋体" w:cs="宋体"/>
                <w:color w:val="auto"/>
                <w:sz w:val="24"/>
                <w:szCs w:val="24"/>
                <w:vertAlign w:val="baseline"/>
                <w:lang w:val="en-US" w:eastAsia="zh-CN"/>
              </w:rPr>
              <w:t>96</w:t>
            </w:r>
          </w:p>
        </w:tc>
        <w:tc>
          <w:tcPr>
            <w:tcW w:w="1260" w:type="dxa"/>
            <w:vAlign w:val="center"/>
          </w:tcPr>
          <w:p>
            <w:pPr>
              <w:jc w:val="center"/>
            </w:pPr>
            <w:r>
              <w:rPr>
                <w:rFonts w:hint="eastAsia" w:ascii="宋体" w:hAnsi="宋体" w:eastAsia="宋体" w:cs="宋体"/>
                <w:color w:val="auto"/>
                <w:sz w:val="24"/>
                <w:szCs w:val="24"/>
                <w:vertAlign w:val="baseline"/>
                <w:lang w:val="en-US" w:eastAsia="zh-CN"/>
              </w:rPr>
              <w:t>150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调查问卷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764" w:type="dxa"/>
            <w:vAlign w:val="top"/>
          </w:tcPr>
          <w:p>
            <w:pPr>
              <w:jc w:val="center"/>
            </w:pPr>
            <w:r>
              <w:t>4</w:t>
            </w:r>
          </w:p>
        </w:tc>
        <w:tc>
          <w:tcPr>
            <w:tcW w:w="2796" w:type="dxa"/>
            <w:vAlign w:val="top"/>
          </w:tcPr>
          <w:p>
            <w:pPr>
              <w:jc w:val="left"/>
            </w:pPr>
            <w:r>
              <w:t>用人单位满意度</w:t>
            </w:r>
          </w:p>
        </w:tc>
        <w:tc>
          <w:tcPr>
            <w:tcW w:w="630" w:type="dxa"/>
            <w:vAlign w:val="top"/>
          </w:tcPr>
          <w:p>
            <w:pPr>
              <w:jc w:val="center"/>
            </w:pPr>
            <w:r>
              <w:t>%</w:t>
            </w:r>
          </w:p>
        </w:tc>
        <w:tc>
          <w:tcPr>
            <w:tcW w:w="1065" w:type="dxa"/>
            <w:vAlign w:val="center"/>
          </w:tcPr>
          <w:p>
            <w:pPr>
              <w:jc w:val="center"/>
              <w:rPr>
                <w:rFonts w:hint="default"/>
                <w:lang w:val="en-US" w:eastAsia="zh-CN"/>
              </w:rPr>
            </w:pPr>
            <w:r>
              <w:rPr>
                <w:rFonts w:hint="eastAsia" w:ascii="宋体" w:hAnsi="宋体" w:eastAsia="宋体" w:cs="宋体"/>
                <w:sz w:val="24"/>
                <w:szCs w:val="24"/>
                <w:lang w:val="en-US" w:eastAsia="zh-CN"/>
              </w:rPr>
              <w:t>97.2</w:t>
            </w:r>
          </w:p>
        </w:tc>
        <w:tc>
          <w:tcPr>
            <w:tcW w:w="1260" w:type="dxa"/>
            <w:vAlign w:val="center"/>
          </w:tcPr>
          <w:p>
            <w:pPr>
              <w:jc w:val="center"/>
            </w:pPr>
            <w:r>
              <w:rPr>
                <w:rFonts w:hint="eastAsia" w:ascii="宋体" w:hAnsi="宋体" w:eastAsia="宋体" w:cs="宋体"/>
                <w:color w:val="auto"/>
                <w:sz w:val="24"/>
                <w:szCs w:val="24"/>
                <w:vertAlign w:val="baseline"/>
                <w:lang w:val="en-US" w:eastAsia="zh-CN"/>
              </w:rPr>
              <w:t>26</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电话、调查问卷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5" w:hRule="atLeast"/>
        </w:trPr>
        <w:tc>
          <w:tcPr>
            <w:tcW w:w="764" w:type="dxa"/>
            <w:vAlign w:val="top"/>
          </w:tcPr>
          <w:p>
            <w:pPr>
              <w:jc w:val="center"/>
            </w:pPr>
            <w:r>
              <w:t>5</w:t>
            </w:r>
          </w:p>
        </w:tc>
        <w:tc>
          <w:tcPr>
            <w:tcW w:w="2796" w:type="dxa"/>
            <w:vAlign w:val="top"/>
          </w:tcPr>
          <w:p>
            <w:pPr>
              <w:jc w:val="left"/>
            </w:pPr>
            <w:r>
              <w:t>家长满意度</w:t>
            </w:r>
          </w:p>
        </w:tc>
        <w:tc>
          <w:tcPr>
            <w:tcW w:w="630" w:type="dxa"/>
            <w:vAlign w:val="top"/>
          </w:tcPr>
          <w:p>
            <w:pPr>
              <w:jc w:val="center"/>
            </w:pPr>
            <w:r>
              <w:t>%</w:t>
            </w:r>
          </w:p>
        </w:tc>
        <w:tc>
          <w:tcPr>
            <w:tcW w:w="1065" w:type="dxa"/>
            <w:vAlign w:val="center"/>
          </w:tcPr>
          <w:p>
            <w:pPr>
              <w:jc w:val="center"/>
            </w:pPr>
            <w:r>
              <w:rPr>
                <w:rFonts w:hint="eastAsia" w:ascii="宋体" w:hAnsi="宋体" w:eastAsia="宋体" w:cs="宋体"/>
                <w:color w:val="auto"/>
                <w:sz w:val="24"/>
                <w:szCs w:val="24"/>
                <w:vertAlign w:val="baseline"/>
                <w:lang w:val="en-US" w:eastAsia="zh-CN"/>
              </w:rPr>
              <w:t>99</w:t>
            </w:r>
          </w:p>
        </w:tc>
        <w:tc>
          <w:tcPr>
            <w:tcW w:w="1260" w:type="dxa"/>
            <w:vAlign w:val="center"/>
          </w:tcPr>
          <w:p>
            <w:pPr>
              <w:jc w:val="center"/>
            </w:pPr>
            <w:r>
              <w:rPr>
                <w:rFonts w:hint="eastAsia" w:ascii="宋体" w:hAnsi="宋体" w:eastAsia="宋体" w:cs="宋体"/>
                <w:color w:val="auto"/>
                <w:sz w:val="24"/>
                <w:szCs w:val="24"/>
                <w:vertAlign w:val="baseline"/>
                <w:lang w:val="en-US" w:eastAsia="zh-CN"/>
              </w:rPr>
              <w:t>120</w:t>
            </w:r>
          </w:p>
        </w:tc>
        <w:tc>
          <w:tcPr>
            <w:tcW w:w="2121" w:type="dxa"/>
            <w:vAlign w:val="center"/>
          </w:tcPr>
          <w:p>
            <w:pPr>
              <w:keepNext w:val="0"/>
              <w:keepLines w:val="0"/>
              <w:widowControl/>
              <w:suppressLineNumbers w:val="0"/>
              <w:wordWrap w:val="0"/>
              <w:spacing w:before="0" w:beforeAutospacing="0" w:after="0" w:afterAutospacing="0"/>
              <w:ind w:left="0" w:leftChars="0" w:right="0" w:rightChars="0" w:firstLine="0" w:firstLineChars="0"/>
              <w:jc w:val="center"/>
            </w:pPr>
            <w:r>
              <w:rPr>
                <w:rFonts w:hint="eastAsia" w:ascii="宋体" w:hAnsi="宋体" w:eastAsia="宋体" w:cs="宋体"/>
                <w:i w:val="0"/>
                <w:iCs w:val="0"/>
                <w:caps w:val="0"/>
                <w:color w:val="222222"/>
                <w:spacing w:val="8"/>
                <w:kern w:val="0"/>
                <w:sz w:val="24"/>
                <w:szCs w:val="24"/>
                <w:lang w:val="en-US" w:eastAsia="zh-CN" w:bidi="ar"/>
              </w:rPr>
              <w:t>电话、调查问卷</w:t>
            </w:r>
          </w:p>
        </w:tc>
      </w:tr>
    </w:tbl>
    <w:p>
      <w:pPr>
        <w:pStyle w:val="3"/>
        <w:ind w:left="0" w:leftChars="0" w:firstLine="0" w:firstLineChars="0"/>
        <w:rPr>
          <w:rFonts w:hint="eastAsia" w:ascii="仿宋_GB2312" w:hAnsi="仿宋_GB2312" w:eastAsia="仿宋_GB2312" w:cs="仿宋_GB2312"/>
          <w:b w:val="0"/>
          <w:bCs w:val="0"/>
          <w:color w:val="000000" w:themeColor="text1"/>
          <w:kern w:val="2"/>
          <w:sz w:val="32"/>
          <w:szCs w:val="32"/>
          <w:lang w:val="en-US" w:eastAsia="zh-CN" w:bidi="ar-SA"/>
          <w14:textFill>
            <w14:solidFill>
              <w14:schemeClr w14:val="tx1"/>
            </w14:solidFill>
          </w14:textFill>
        </w:rPr>
      </w:pPr>
    </w:p>
    <w:sectPr>
      <w:footerReference r:id="rId5" w:type="default"/>
      <w:pgSz w:w="11906" w:h="16838"/>
      <w:pgMar w:top="1814" w:right="1531" w:bottom="1701" w:left="1531"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2000000000000000000"/>
    <w:charset w:val="86"/>
    <w:family w:val="auto"/>
    <w:pitch w:val="default"/>
    <w:sig w:usb0="A00002BF" w:usb1="184F6CFA" w:usb2="00000012" w:usb3="00000000" w:csb0="00040001" w:csb1="00000000"/>
  </w:font>
  <w:font w:name="微软简隶书">
    <w:altName w:val="宋体"/>
    <w:panose1 w:val="00000000000000000000"/>
    <w:charset w:val="00"/>
    <w:family w:val="auto"/>
    <w:pitch w:val="default"/>
    <w:sig w:usb0="00000000" w:usb1="00000000" w:usb2="00000000" w:usb3="00000000" w:csb0="00040001" w:csb1="0000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1" w:line="185" w:lineRule="auto"/>
      <w:ind w:right="140"/>
      <w:jc w:val="right"/>
      <w:rPr>
        <w:rFonts w:ascii="宋体" w:hAnsi="宋体" w:eastAsia="宋体" w:cs="宋体"/>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1" w:line="185" w:lineRule="auto"/>
      <w:ind w:right="140"/>
      <w:jc w:val="right"/>
      <w:rPr>
        <w:rFonts w:ascii="宋体" w:hAnsi="宋体" w:eastAsia="宋体" w:cs="宋体"/>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tabs>
        <w:tab w:val="right" w:pos="8844"/>
        <w:tab w:val="clear" w:pos="4153"/>
      </w:tabs>
      <w:jc w:val="both"/>
      <w:rPr>
        <w:rFonts w:hint="eastAsia" w:ascii="微软简隶书" w:hAnsi="微软简隶书" w:eastAsia="微软简隶书" w:cs="微软简隶书"/>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0ZDgxMDQxMTc4Yzg5MzdjMzJjMDA5NjFhYjVlOWQifQ=="/>
  </w:docVars>
  <w:rsids>
    <w:rsidRoot w:val="73471FC8"/>
    <w:rsid w:val="00011B8A"/>
    <w:rsid w:val="00043E56"/>
    <w:rsid w:val="000551BE"/>
    <w:rsid w:val="00077B78"/>
    <w:rsid w:val="00087C79"/>
    <w:rsid w:val="000970D0"/>
    <w:rsid w:val="000C2DC3"/>
    <w:rsid w:val="000D2EB0"/>
    <w:rsid w:val="000E34E5"/>
    <w:rsid w:val="00105AFE"/>
    <w:rsid w:val="0011483A"/>
    <w:rsid w:val="00120B69"/>
    <w:rsid w:val="001219D3"/>
    <w:rsid w:val="001559BB"/>
    <w:rsid w:val="002857FB"/>
    <w:rsid w:val="00291A5C"/>
    <w:rsid w:val="002B2DAC"/>
    <w:rsid w:val="002E2F05"/>
    <w:rsid w:val="00314CAC"/>
    <w:rsid w:val="00362D95"/>
    <w:rsid w:val="00371180"/>
    <w:rsid w:val="00376FD5"/>
    <w:rsid w:val="003F737A"/>
    <w:rsid w:val="004117D6"/>
    <w:rsid w:val="00420A99"/>
    <w:rsid w:val="00422233"/>
    <w:rsid w:val="0042252C"/>
    <w:rsid w:val="004239B6"/>
    <w:rsid w:val="00467852"/>
    <w:rsid w:val="004B6367"/>
    <w:rsid w:val="004B65B3"/>
    <w:rsid w:val="00562EB6"/>
    <w:rsid w:val="005A0E3A"/>
    <w:rsid w:val="005A3EBC"/>
    <w:rsid w:val="005C738F"/>
    <w:rsid w:val="006164DF"/>
    <w:rsid w:val="00624441"/>
    <w:rsid w:val="00721229"/>
    <w:rsid w:val="00782782"/>
    <w:rsid w:val="007A3406"/>
    <w:rsid w:val="007D2764"/>
    <w:rsid w:val="00815DB7"/>
    <w:rsid w:val="00842B28"/>
    <w:rsid w:val="00872559"/>
    <w:rsid w:val="008A2A2B"/>
    <w:rsid w:val="008D47B4"/>
    <w:rsid w:val="00904F33"/>
    <w:rsid w:val="00942C2B"/>
    <w:rsid w:val="009813ED"/>
    <w:rsid w:val="0098448C"/>
    <w:rsid w:val="009A4EBB"/>
    <w:rsid w:val="009E0284"/>
    <w:rsid w:val="00A45937"/>
    <w:rsid w:val="00AA66D2"/>
    <w:rsid w:val="00AB19A4"/>
    <w:rsid w:val="00AC48B3"/>
    <w:rsid w:val="00B03B6C"/>
    <w:rsid w:val="00B4742A"/>
    <w:rsid w:val="00B726E3"/>
    <w:rsid w:val="00B766B3"/>
    <w:rsid w:val="00B865B1"/>
    <w:rsid w:val="00B971AC"/>
    <w:rsid w:val="00C47DF5"/>
    <w:rsid w:val="00CF0895"/>
    <w:rsid w:val="00D0280F"/>
    <w:rsid w:val="00D031D2"/>
    <w:rsid w:val="00D10F6F"/>
    <w:rsid w:val="00D438C4"/>
    <w:rsid w:val="00D838E4"/>
    <w:rsid w:val="00DB3641"/>
    <w:rsid w:val="00DC473C"/>
    <w:rsid w:val="00DD543E"/>
    <w:rsid w:val="00DF729E"/>
    <w:rsid w:val="00EB44AC"/>
    <w:rsid w:val="00EC1AEF"/>
    <w:rsid w:val="00F13F19"/>
    <w:rsid w:val="00F23603"/>
    <w:rsid w:val="00F25658"/>
    <w:rsid w:val="00F53E31"/>
    <w:rsid w:val="00FB0D53"/>
    <w:rsid w:val="010D7DB5"/>
    <w:rsid w:val="01AB5329"/>
    <w:rsid w:val="01FD42EF"/>
    <w:rsid w:val="02160519"/>
    <w:rsid w:val="02217FDE"/>
    <w:rsid w:val="025D0376"/>
    <w:rsid w:val="038A570F"/>
    <w:rsid w:val="03AA4003"/>
    <w:rsid w:val="03F612F2"/>
    <w:rsid w:val="04487E5C"/>
    <w:rsid w:val="04F95547"/>
    <w:rsid w:val="0512093A"/>
    <w:rsid w:val="05EB3D77"/>
    <w:rsid w:val="060D5D1C"/>
    <w:rsid w:val="06540894"/>
    <w:rsid w:val="067D54CB"/>
    <w:rsid w:val="069841E0"/>
    <w:rsid w:val="06A3506C"/>
    <w:rsid w:val="06B34F7C"/>
    <w:rsid w:val="06D63F89"/>
    <w:rsid w:val="06DF0467"/>
    <w:rsid w:val="07165953"/>
    <w:rsid w:val="077413BC"/>
    <w:rsid w:val="08225FD4"/>
    <w:rsid w:val="089E7EF4"/>
    <w:rsid w:val="08B81837"/>
    <w:rsid w:val="08F57ACE"/>
    <w:rsid w:val="09150170"/>
    <w:rsid w:val="096A3585"/>
    <w:rsid w:val="09C96D54"/>
    <w:rsid w:val="0A427B76"/>
    <w:rsid w:val="0A621193"/>
    <w:rsid w:val="0A71093C"/>
    <w:rsid w:val="0AF838A6"/>
    <w:rsid w:val="0AFD4549"/>
    <w:rsid w:val="0B030446"/>
    <w:rsid w:val="0B646FD0"/>
    <w:rsid w:val="0B8D4DCB"/>
    <w:rsid w:val="0B8F3BF1"/>
    <w:rsid w:val="0B9B52CF"/>
    <w:rsid w:val="0BE300B2"/>
    <w:rsid w:val="0C1E733C"/>
    <w:rsid w:val="0C3F12A8"/>
    <w:rsid w:val="0C441955"/>
    <w:rsid w:val="0C5E3E25"/>
    <w:rsid w:val="0C6A07D3"/>
    <w:rsid w:val="0CEA4A67"/>
    <w:rsid w:val="0D366907"/>
    <w:rsid w:val="0D3D7EB5"/>
    <w:rsid w:val="0D61385B"/>
    <w:rsid w:val="0DA02B85"/>
    <w:rsid w:val="0E2624D8"/>
    <w:rsid w:val="0E283FB3"/>
    <w:rsid w:val="0E515952"/>
    <w:rsid w:val="0E52366A"/>
    <w:rsid w:val="0E7C05EF"/>
    <w:rsid w:val="0EB22403"/>
    <w:rsid w:val="0F002C5E"/>
    <w:rsid w:val="0F757C40"/>
    <w:rsid w:val="0F7B0E72"/>
    <w:rsid w:val="0F90063F"/>
    <w:rsid w:val="0FC62F2C"/>
    <w:rsid w:val="0FCA1C6A"/>
    <w:rsid w:val="0FE159E7"/>
    <w:rsid w:val="10090303"/>
    <w:rsid w:val="10577AEF"/>
    <w:rsid w:val="118130DF"/>
    <w:rsid w:val="11B404E7"/>
    <w:rsid w:val="11DD36C7"/>
    <w:rsid w:val="12416B15"/>
    <w:rsid w:val="124F5746"/>
    <w:rsid w:val="127564EA"/>
    <w:rsid w:val="12C25F55"/>
    <w:rsid w:val="12C80001"/>
    <w:rsid w:val="12F43D95"/>
    <w:rsid w:val="136F7FDF"/>
    <w:rsid w:val="13F36F39"/>
    <w:rsid w:val="140E2A87"/>
    <w:rsid w:val="14142BD9"/>
    <w:rsid w:val="145C0BC9"/>
    <w:rsid w:val="147D155D"/>
    <w:rsid w:val="148502FF"/>
    <w:rsid w:val="14B70F45"/>
    <w:rsid w:val="14C519D1"/>
    <w:rsid w:val="14EC18C2"/>
    <w:rsid w:val="15FF197D"/>
    <w:rsid w:val="16375AAD"/>
    <w:rsid w:val="165F6ECF"/>
    <w:rsid w:val="166817B1"/>
    <w:rsid w:val="1689612A"/>
    <w:rsid w:val="16CD0EB1"/>
    <w:rsid w:val="177466C0"/>
    <w:rsid w:val="179B0D89"/>
    <w:rsid w:val="17BF5E77"/>
    <w:rsid w:val="183879D7"/>
    <w:rsid w:val="184A365E"/>
    <w:rsid w:val="18506864"/>
    <w:rsid w:val="18E70344"/>
    <w:rsid w:val="18F838E7"/>
    <w:rsid w:val="19683C5C"/>
    <w:rsid w:val="19C15B92"/>
    <w:rsid w:val="19D31E29"/>
    <w:rsid w:val="1A3266BD"/>
    <w:rsid w:val="1AB84E59"/>
    <w:rsid w:val="1ACF30D6"/>
    <w:rsid w:val="1B1F571C"/>
    <w:rsid w:val="1B474B95"/>
    <w:rsid w:val="1B670D90"/>
    <w:rsid w:val="1B7D1D67"/>
    <w:rsid w:val="1B9234D4"/>
    <w:rsid w:val="1BA3160C"/>
    <w:rsid w:val="1BB84AB8"/>
    <w:rsid w:val="1BDB3D17"/>
    <w:rsid w:val="1BF24E16"/>
    <w:rsid w:val="1C0523C5"/>
    <w:rsid w:val="1C67413B"/>
    <w:rsid w:val="1C705195"/>
    <w:rsid w:val="1C7C6646"/>
    <w:rsid w:val="1C952FE5"/>
    <w:rsid w:val="1CC13002"/>
    <w:rsid w:val="1CEC2B3E"/>
    <w:rsid w:val="1D172271"/>
    <w:rsid w:val="1D7373F4"/>
    <w:rsid w:val="1DA30EAE"/>
    <w:rsid w:val="1DAD49C3"/>
    <w:rsid w:val="1E4E6FE1"/>
    <w:rsid w:val="1E616BEA"/>
    <w:rsid w:val="1E824773"/>
    <w:rsid w:val="1EFB04C6"/>
    <w:rsid w:val="1F6752EE"/>
    <w:rsid w:val="1F75760F"/>
    <w:rsid w:val="1FDB75C6"/>
    <w:rsid w:val="203F459D"/>
    <w:rsid w:val="208C266E"/>
    <w:rsid w:val="20CF5E72"/>
    <w:rsid w:val="21A64FF0"/>
    <w:rsid w:val="21AA50B3"/>
    <w:rsid w:val="21DF4B4F"/>
    <w:rsid w:val="21E970CB"/>
    <w:rsid w:val="21F663FB"/>
    <w:rsid w:val="22084D63"/>
    <w:rsid w:val="221E7997"/>
    <w:rsid w:val="223E47CF"/>
    <w:rsid w:val="226E3614"/>
    <w:rsid w:val="22711C5A"/>
    <w:rsid w:val="2385094A"/>
    <w:rsid w:val="23C810A3"/>
    <w:rsid w:val="23CD36CA"/>
    <w:rsid w:val="23D94B06"/>
    <w:rsid w:val="23EB3B50"/>
    <w:rsid w:val="24761137"/>
    <w:rsid w:val="258A1146"/>
    <w:rsid w:val="25BF2CDD"/>
    <w:rsid w:val="26197D30"/>
    <w:rsid w:val="266433E2"/>
    <w:rsid w:val="26AA0B2E"/>
    <w:rsid w:val="271C0F2C"/>
    <w:rsid w:val="27373189"/>
    <w:rsid w:val="2812143D"/>
    <w:rsid w:val="28403813"/>
    <w:rsid w:val="28507849"/>
    <w:rsid w:val="28643ED1"/>
    <w:rsid w:val="288E1270"/>
    <w:rsid w:val="28F05A69"/>
    <w:rsid w:val="29734CA5"/>
    <w:rsid w:val="299A404E"/>
    <w:rsid w:val="29AA0FC5"/>
    <w:rsid w:val="29D62513"/>
    <w:rsid w:val="2A102562"/>
    <w:rsid w:val="2A2D2AA2"/>
    <w:rsid w:val="2A577EE5"/>
    <w:rsid w:val="2A773612"/>
    <w:rsid w:val="2A9C6583"/>
    <w:rsid w:val="2B044801"/>
    <w:rsid w:val="2B1700C7"/>
    <w:rsid w:val="2B5804C0"/>
    <w:rsid w:val="2B65718C"/>
    <w:rsid w:val="2BA54F2C"/>
    <w:rsid w:val="2BDB6BA0"/>
    <w:rsid w:val="2C425D39"/>
    <w:rsid w:val="2C464019"/>
    <w:rsid w:val="2C5A7AC4"/>
    <w:rsid w:val="2C674B70"/>
    <w:rsid w:val="2C7D44A2"/>
    <w:rsid w:val="2C815051"/>
    <w:rsid w:val="2C8D21F6"/>
    <w:rsid w:val="2C91647C"/>
    <w:rsid w:val="2C94751C"/>
    <w:rsid w:val="2CA742CF"/>
    <w:rsid w:val="2CAD34D9"/>
    <w:rsid w:val="2D73032B"/>
    <w:rsid w:val="2D9B09E0"/>
    <w:rsid w:val="2DAB403E"/>
    <w:rsid w:val="2DC7695E"/>
    <w:rsid w:val="2DF25A8B"/>
    <w:rsid w:val="2DF30C05"/>
    <w:rsid w:val="2E92116A"/>
    <w:rsid w:val="2E947D9A"/>
    <w:rsid w:val="2EC752F3"/>
    <w:rsid w:val="2EDF69A7"/>
    <w:rsid w:val="2F006AF0"/>
    <w:rsid w:val="2F01025C"/>
    <w:rsid w:val="2FC8509A"/>
    <w:rsid w:val="2FDB2CCA"/>
    <w:rsid w:val="30316D8E"/>
    <w:rsid w:val="305E0E7E"/>
    <w:rsid w:val="308E6710"/>
    <w:rsid w:val="30B00B8C"/>
    <w:rsid w:val="30B11C7D"/>
    <w:rsid w:val="30B2432A"/>
    <w:rsid w:val="30E24FAE"/>
    <w:rsid w:val="315151AB"/>
    <w:rsid w:val="31633E12"/>
    <w:rsid w:val="31853836"/>
    <w:rsid w:val="320A7897"/>
    <w:rsid w:val="320B53DF"/>
    <w:rsid w:val="321E1594"/>
    <w:rsid w:val="32FA790B"/>
    <w:rsid w:val="332179DC"/>
    <w:rsid w:val="33656F34"/>
    <w:rsid w:val="337A6672"/>
    <w:rsid w:val="338D48CD"/>
    <w:rsid w:val="33AD634D"/>
    <w:rsid w:val="33C31B19"/>
    <w:rsid w:val="33DB773D"/>
    <w:rsid w:val="340424B0"/>
    <w:rsid w:val="342C3DCF"/>
    <w:rsid w:val="34C71A6F"/>
    <w:rsid w:val="35904CED"/>
    <w:rsid w:val="361433DA"/>
    <w:rsid w:val="362F5E84"/>
    <w:rsid w:val="36906C94"/>
    <w:rsid w:val="36EA3379"/>
    <w:rsid w:val="37022D4B"/>
    <w:rsid w:val="374A6A5A"/>
    <w:rsid w:val="37A81E64"/>
    <w:rsid w:val="37B07132"/>
    <w:rsid w:val="37B83721"/>
    <w:rsid w:val="37D74404"/>
    <w:rsid w:val="38211DDE"/>
    <w:rsid w:val="38216821"/>
    <w:rsid w:val="3885236D"/>
    <w:rsid w:val="38A8605B"/>
    <w:rsid w:val="38FA7665"/>
    <w:rsid w:val="39072CC9"/>
    <w:rsid w:val="39262865"/>
    <w:rsid w:val="392D3E5B"/>
    <w:rsid w:val="39CE291B"/>
    <w:rsid w:val="39F16179"/>
    <w:rsid w:val="39F22FEE"/>
    <w:rsid w:val="3A1D7B03"/>
    <w:rsid w:val="3A7D0B87"/>
    <w:rsid w:val="3A9C539C"/>
    <w:rsid w:val="3A9E5C81"/>
    <w:rsid w:val="3ADE7B13"/>
    <w:rsid w:val="3B075174"/>
    <w:rsid w:val="3B4541EE"/>
    <w:rsid w:val="3B91451B"/>
    <w:rsid w:val="3C0506E8"/>
    <w:rsid w:val="3C2A2F75"/>
    <w:rsid w:val="3C3919B2"/>
    <w:rsid w:val="3D3D1420"/>
    <w:rsid w:val="3D59542A"/>
    <w:rsid w:val="3D654F9D"/>
    <w:rsid w:val="3D843A06"/>
    <w:rsid w:val="3DA21757"/>
    <w:rsid w:val="3DB644FD"/>
    <w:rsid w:val="3DD74F30"/>
    <w:rsid w:val="3E9E2257"/>
    <w:rsid w:val="3EB406CB"/>
    <w:rsid w:val="3F854A01"/>
    <w:rsid w:val="4019660C"/>
    <w:rsid w:val="40672358"/>
    <w:rsid w:val="409C1E7F"/>
    <w:rsid w:val="409F5F96"/>
    <w:rsid w:val="4211123D"/>
    <w:rsid w:val="422435A7"/>
    <w:rsid w:val="425651E5"/>
    <w:rsid w:val="42925DB2"/>
    <w:rsid w:val="42BC192F"/>
    <w:rsid w:val="42CB1744"/>
    <w:rsid w:val="43030A5E"/>
    <w:rsid w:val="43034928"/>
    <w:rsid w:val="43357D1B"/>
    <w:rsid w:val="438C5729"/>
    <w:rsid w:val="43965E51"/>
    <w:rsid w:val="43A318F9"/>
    <w:rsid w:val="43E448F2"/>
    <w:rsid w:val="43F67065"/>
    <w:rsid w:val="44A87F12"/>
    <w:rsid w:val="44CD30D2"/>
    <w:rsid w:val="44D9220D"/>
    <w:rsid w:val="44ED504B"/>
    <w:rsid w:val="452A471A"/>
    <w:rsid w:val="45561319"/>
    <w:rsid w:val="45592D7D"/>
    <w:rsid w:val="459E12E5"/>
    <w:rsid w:val="45F56509"/>
    <w:rsid w:val="461D1066"/>
    <w:rsid w:val="463C09B7"/>
    <w:rsid w:val="464124D2"/>
    <w:rsid w:val="46662458"/>
    <w:rsid w:val="46983835"/>
    <w:rsid w:val="469C1E44"/>
    <w:rsid w:val="47451645"/>
    <w:rsid w:val="476B0D76"/>
    <w:rsid w:val="48195197"/>
    <w:rsid w:val="481C580A"/>
    <w:rsid w:val="48342C92"/>
    <w:rsid w:val="48817F77"/>
    <w:rsid w:val="48E0509C"/>
    <w:rsid w:val="4920415B"/>
    <w:rsid w:val="49A64CDE"/>
    <w:rsid w:val="49BE5E51"/>
    <w:rsid w:val="49C4553D"/>
    <w:rsid w:val="49C64593"/>
    <w:rsid w:val="4A0D56E6"/>
    <w:rsid w:val="4A2222C5"/>
    <w:rsid w:val="4A3459A1"/>
    <w:rsid w:val="4A58386A"/>
    <w:rsid w:val="4A61212E"/>
    <w:rsid w:val="4A660C41"/>
    <w:rsid w:val="4AFD0BAD"/>
    <w:rsid w:val="4B693A74"/>
    <w:rsid w:val="4B7460AF"/>
    <w:rsid w:val="4B7F714E"/>
    <w:rsid w:val="4BA77715"/>
    <w:rsid w:val="4BAD450B"/>
    <w:rsid w:val="4BF77EA2"/>
    <w:rsid w:val="4C124497"/>
    <w:rsid w:val="4C662D23"/>
    <w:rsid w:val="4C7F7F6C"/>
    <w:rsid w:val="4C8A5D4C"/>
    <w:rsid w:val="4CDC4A97"/>
    <w:rsid w:val="4CE818AD"/>
    <w:rsid w:val="4D2A16AE"/>
    <w:rsid w:val="4D4A1EB8"/>
    <w:rsid w:val="4D4D14F8"/>
    <w:rsid w:val="4D5368AD"/>
    <w:rsid w:val="4D8A1ED2"/>
    <w:rsid w:val="4D9675CF"/>
    <w:rsid w:val="4E1B64B8"/>
    <w:rsid w:val="4EC372F3"/>
    <w:rsid w:val="4F177FF6"/>
    <w:rsid w:val="4F311488"/>
    <w:rsid w:val="4F35067F"/>
    <w:rsid w:val="4F37536F"/>
    <w:rsid w:val="4F391364"/>
    <w:rsid w:val="4F402A50"/>
    <w:rsid w:val="4F5166AD"/>
    <w:rsid w:val="4F651E1F"/>
    <w:rsid w:val="4F665D41"/>
    <w:rsid w:val="4F764366"/>
    <w:rsid w:val="4F786330"/>
    <w:rsid w:val="4F7B372A"/>
    <w:rsid w:val="4F887899"/>
    <w:rsid w:val="4FAC49EC"/>
    <w:rsid w:val="4FBB16AB"/>
    <w:rsid w:val="4FBC0A4C"/>
    <w:rsid w:val="50152B62"/>
    <w:rsid w:val="50875038"/>
    <w:rsid w:val="50897CB4"/>
    <w:rsid w:val="50AB0737"/>
    <w:rsid w:val="50C51103"/>
    <w:rsid w:val="50D0737A"/>
    <w:rsid w:val="50E43195"/>
    <w:rsid w:val="50FB11BA"/>
    <w:rsid w:val="511016CD"/>
    <w:rsid w:val="517F39BC"/>
    <w:rsid w:val="527B62CC"/>
    <w:rsid w:val="52862B12"/>
    <w:rsid w:val="529A677D"/>
    <w:rsid w:val="52FE5D2C"/>
    <w:rsid w:val="53420D1D"/>
    <w:rsid w:val="536621CA"/>
    <w:rsid w:val="53BE32A0"/>
    <w:rsid w:val="53DC11C5"/>
    <w:rsid w:val="53F95EAA"/>
    <w:rsid w:val="54576514"/>
    <w:rsid w:val="54FC31DB"/>
    <w:rsid w:val="558E494E"/>
    <w:rsid w:val="55DA1A70"/>
    <w:rsid w:val="55E51856"/>
    <w:rsid w:val="57392849"/>
    <w:rsid w:val="573C5EC4"/>
    <w:rsid w:val="57440AE4"/>
    <w:rsid w:val="575414DF"/>
    <w:rsid w:val="579C55B7"/>
    <w:rsid w:val="57DF2AD9"/>
    <w:rsid w:val="57FB2251"/>
    <w:rsid w:val="57FD3876"/>
    <w:rsid w:val="580104F3"/>
    <w:rsid w:val="581E589F"/>
    <w:rsid w:val="586B07E0"/>
    <w:rsid w:val="588B5497"/>
    <w:rsid w:val="589325D0"/>
    <w:rsid w:val="58974374"/>
    <w:rsid w:val="58C4078A"/>
    <w:rsid w:val="58DE0117"/>
    <w:rsid w:val="590E3662"/>
    <w:rsid w:val="596416F7"/>
    <w:rsid w:val="5A092F04"/>
    <w:rsid w:val="5A1C153E"/>
    <w:rsid w:val="5A755946"/>
    <w:rsid w:val="5A9529FF"/>
    <w:rsid w:val="5ACC02EB"/>
    <w:rsid w:val="5B016BD5"/>
    <w:rsid w:val="5B4354C5"/>
    <w:rsid w:val="5B4E356A"/>
    <w:rsid w:val="5B5F03A4"/>
    <w:rsid w:val="5C396A71"/>
    <w:rsid w:val="5C427A39"/>
    <w:rsid w:val="5C4D4754"/>
    <w:rsid w:val="5C512DE2"/>
    <w:rsid w:val="5C546A2C"/>
    <w:rsid w:val="5C910A31"/>
    <w:rsid w:val="5CFC234E"/>
    <w:rsid w:val="5D605245"/>
    <w:rsid w:val="5DC960FF"/>
    <w:rsid w:val="5DCA7CAC"/>
    <w:rsid w:val="5E646BE8"/>
    <w:rsid w:val="5EF82A20"/>
    <w:rsid w:val="5F583033"/>
    <w:rsid w:val="5FD66F9A"/>
    <w:rsid w:val="605B7A96"/>
    <w:rsid w:val="60687201"/>
    <w:rsid w:val="606C20A3"/>
    <w:rsid w:val="606F6F21"/>
    <w:rsid w:val="608F1BE8"/>
    <w:rsid w:val="60E32FFC"/>
    <w:rsid w:val="619314C1"/>
    <w:rsid w:val="61D814EE"/>
    <w:rsid w:val="62143C1A"/>
    <w:rsid w:val="62171E4A"/>
    <w:rsid w:val="62752DD8"/>
    <w:rsid w:val="628F19C9"/>
    <w:rsid w:val="629605EB"/>
    <w:rsid w:val="62E17CA0"/>
    <w:rsid w:val="63761CDA"/>
    <w:rsid w:val="637B4C5D"/>
    <w:rsid w:val="64752A78"/>
    <w:rsid w:val="65B654C1"/>
    <w:rsid w:val="6620104D"/>
    <w:rsid w:val="66394057"/>
    <w:rsid w:val="666B5C2F"/>
    <w:rsid w:val="66F8729A"/>
    <w:rsid w:val="67354616"/>
    <w:rsid w:val="67AB0BF9"/>
    <w:rsid w:val="67B06154"/>
    <w:rsid w:val="67E35E65"/>
    <w:rsid w:val="67E44B54"/>
    <w:rsid w:val="67F504B8"/>
    <w:rsid w:val="6806029B"/>
    <w:rsid w:val="68464AB7"/>
    <w:rsid w:val="68C963DA"/>
    <w:rsid w:val="68D4203B"/>
    <w:rsid w:val="68ED6FEF"/>
    <w:rsid w:val="69116D48"/>
    <w:rsid w:val="692505BA"/>
    <w:rsid w:val="695D07DC"/>
    <w:rsid w:val="696A6892"/>
    <w:rsid w:val="699B47FA"/>
    <w:rsid w:val="69B664CA"/>
    <w:rsid w:val="69E95A08"/>
    <w:rsid w:val="6A330201"/>
    <w:rsid w:val="6A3C1FDC"/>
    <w:rsid w:val="6B685053"/>
    <w:rsid w:val="6B6E4D18"/>
    <w:rsid w:val="6BA353B4"/>
    <w:rsid w:val="6BDE4CA9"/>
    <w:rsid w:val="6C262F44"/>
    <w:rsid w:val="6C9A0670"/>
    <w:rsid w:val="6CC560F4"/>
    <w:rsid w:val="6CDC73C3"/>
    <w:rsid w:val="6D4F2026"/>
    <w:rsid w:val="6D8060FA"/>
    <w:rsid w:val="6E065E09"/>
    <w:rsid w:val="6E900BC6"/>
    <w:rsid w:val="6EEB30B8"/>
    <w:rsid w:val="6F57638F"/>
    <w:rsid w:val="6F5A4CB2"/>
    <w:rsid w:val="6F6A202C"/>
    <w:rsid w:val="6FAC07EB"/>
    <w:rsid w:val="6FC77298"/>
    <w:rsid w:val="6FD31CFD"/>
    <w:rsid w:val="6FF41F1C"/>
    <w:rsid w:val="70762E05"/>
    <w:rsid w:val="709335E5"/>
    <w:rsid w:val="71A44372"/>
    <w:rsid w:val="71DC40A5"/>
    <w:rsid w:val="72053B79"/>
    <w:rsid w:val="724A722B"/>
    <w:rsid w:val="725A72B6"/>
    <w:rsid w:val="728236CD"/>
    <w:rsid w:val="7298621E"/>
    <w:rsid w:val="72BC63B0"/>
    <w:rsid w:val="73471FC8"/>
    <w:rsid w:val="735C31FD"/>
    <w:rsid w:val="73966FA4"/>
    <w:rsid w:val="73BC3B4C"/>
    <w:rsid w:val="74143FCA"/>
    <w:rsid w:val="741573AD"/>
    <w:rsid w:val="747A08B7"/>
    <w:rsid w:val="74EF5D6B"/>
    <w:rsid w:val="75325D31"/>
    <w:rsid w:val="75D51641"/>
    <w:rsid w:val="75E65D37"/>
    <w:rsid w:val="765C33A9"/>
    <w:rsid w:val="76EF14C2"/>
    <w:rsid w:val="77027A74"/>
    <w:rsid w:val="774A39C7"/>
    <w:rsid w:val="774C5547"/>
    <w:rsid w:val="77D61A0D"/>
    <w:rsid w:val="77FA77BF"/>
    <w:rsid w:val="78337553"/>
    <w:rsid w:val="7867140A"/>
    <w:rsid w:val="786F493D"/>
    <w:rsid w:val="78B01D8D"/>
    <w:rsid w:val="78DA16E3"/>
    <w:rsid w:val="78E469CE"/>
    <w:rsid w:val="78F32400"/>
    <w:rsid w:val="79222CE5"/>
    <w:rsid w:val="79353EF7"/>
    <w:rsid w:val="79526E22"/>
    <w:rsid w:val="795D3D1D"/>
    <w:rsid w:val="79621333"/>
    <w:rsid w:val="7A40602D"/>
    <w:rsid w:val="7B116F75"/>
    <w:rsid w:val="7B704CD8"/>
    <w:rsid w:val="7BDC53CD"/>
    <w:rsid w:val="7BE16CE4"/>
    <w:rsid w:val="7BE72CD8"/>
    <w:rsid w:val="7BFB1605"/>
    <w:rsid w:val="7BFB4911"/>
    <w:rsid w:val="7BFF0C5A"/>
    <w:rsid w:val="7C172EA1"/>
    <w:rsid w:val="7C6B2C85"/>
    <w:rsid w:val="7C6E11C0"/>
    <w:rsid w:val="7C991FC9"/>
    <w:rsid w:val="7CFE5817"/>
    <w:rsid w:val="7D186ACE"/>
    <w:rsid w:val="7D280851"/>
    <w:rsid w:val="7D3B4537"/>
    <w:rsid w:val="7D770681"/>
    <w:rsid w:val="7DE408DA"/>
    <w:rsid w:val="7E325778"/>
    <w:rsid w:val="7E6A0538"/>
    <w:rsid w:val="7EB53831"/>
    <w:rsid w:val="7EC96157"/>
    <w:rsid w:val="7EE16B4D"/>
    <w:rsid w:val="7F0D1D41"/>
    <w:rsid w:val="7F4F7C7D"/>
    <w:rsid w:val="7F6566BD"/>
    <w:rsid w:val="7F9166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33"/>
    <w:qFormat/>
    <w:uiPriority w:val="9"/>
    <w:pPr>
      <w:widowControl/>
      <w:spacing w:before="100" w:beforeAutospacing="1" w:after="100" w:afterAutospacing="1"/>
      <w:jc w:val="left"/>
      <w:outlineLvl w:val="0"/>
    </w:pPr>
    <w:rPr>
      <w:rFonts w:ascii="宋体" w:hAnsi="宋体" w:eastAsia="宋体" w:cs="宋体"/>
      <w:b/>
      <w:bCs/>
      <w:kern w:val="36"/>
      <w:sz w:val="48"/>
      <w:szCs w:val="48"/>
    </w:rPr>
  </w:style>
  <w:style w:type="paragraph" w:styleId="5">
    <w:name w:val="heading 2"/>
    <w:basedOn w:val="1"/>
    <w:next w:val="1"/>
    <w:semiHidden/>
    <w:unhideWhenUsed/>
    <w:qFormat/>
    <w:uiPriority w:val="0"/>
    <w:pPr>
      <w:keepNext/>
      <w:keepLines/>
      <w:spacing w:before="260" w:after="260" w:line="413" w:lineRule="auto"/>
      <w:outlineLvl w:val="1"/>
    </w:pPr>
    <w:rPr>
      <w:rFonts w:ascii="Arial" w:hAnsi="Arial" w:eastAsia="黑体"/>
      <w:b/>
      <w:sz w:val="3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3"/>
    <w:qFormat/>
    <w:uiPriority w:val="0"/>
    <w:pPr>
      <w:ind w:firstLine="200" w:firstLineChars="200"/>
    </w:pPr>
  </w:style>
  <w:style w:type="paragraph" w:styleId="3">
    <w:name w:val="index 5"/>
    <w:basedOn w:val="1"/>
    <w:next w:val="1"/>
    <w:qFormat/>
    <w:uiPriority w:val="0"/>
    <w:pPr>
      <w:ind w:left="1680"/>
    </w:pPr>
  </w:style>
  <w:style w:type="paragraph" w:styleId="6">
    <w:name w:val="annotation text"/>
    <w:basedOn w:val="1"/>
    <w:link w:val="26"/>
    <w:qFormat/>
    <w:uiPriority w:val="0"/>
    <w:pPr>
      <w:jc w:val="left"/>
    </w:pPr>
  </w:style>
  <w:style w:type="paragraph" w:styleId="7">
    <w:name w:val="Body Text 3"/>
    <w:basedOn w:val="1"/>
    <w:qFormat/>
    <w:uiPriority w:val="0"/>
    <w:pPr>
      <w:spacing w:after="120"/>
    </w:pPr>
    <w:rPr>
      <w:sz w:val="16"/>
      <w:szCs w:val="16"/>
    </w:rPr>
  </w:style>
  <w:style w:type="paragraph" w:styleId="8">
    <w:name w:val="Body Text"/>
    <w:basedOn w:val="1"/>
    <w:next w:val="1"/>
    <w:qFormat/>
    <w:uiPriority w:val="0"/>
    <w:pPr>
      <w:spacing w:after="120"/>
    </w:pPr>
  </w:style>
  <w:style w:type="paragraph" w:styleId="9">
    <w:name w:val="Balloon Text"/>
    <w:basedOn w:val="1"/>
    <w:link w:val="29"/>
    <w:qFormat/>
    <w:uiPriority w:val="0"/>
    <w:rPr>
      <w:sz w:val="18"/>
      <w:szCs w:val="18"/>
    </w:rPr>
  </w:style>
  <w:style w:type="paragraph" w:styleId="10">
    <w:name w:val="footer"/>
    <w:basedOn w:val="1"/>
    <w:unhideWhenUsed/>
    <w:qFormat/>
    <w:uiPriority w:val="99"/>
    <w:pPr>
      <w:tabs>
        <w:tab w:val="center" w:pos="4153"/>
        <w:tab w:val="right" w:pos="8306"/>
      </w:tabs>
      <w:snapToGrid w:val="0"/>
      <w:jc w:val="left"/>
    </w:pPr>
    <w:rPr>
      <w:sz w:val="18"/>
      <w:szCs w:val="18"/>
    </w:rPr>
  </w:style>
  <w:style w:type="paragraph" w:styleId="11">
    <w:name w:val="header"/>
    <w:basedOn w:val="1"/>
    <w:link w:val="28"/>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3">
    <w:name w:val="annotation subject"/>
    <w:basedOn w:val="6"/>
    <w:next w:val="6"/>
    <w:link w:val="27"/>
    <w:qFormat/>
    <w:uiPriority w:val="0"/>
    <w:rPr>
      <w:b/>
      <w:bCs/>
    </w:rPr>
  </w:style>
  <w:style w:type="table" w:styleId="15">
    <w:name w:val="Table Grid"/>
    <w:basedOn w:val="14"/>
    <w:qFormat/>
    <w:uiPriority w:val="39"/>
    <w:rPr>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0"/>
    <w:rPr>
      <w:b/>
    </w:rPr>
  </w:style>
  <w:style w:type="character" w:styleId="18">
    <w:name w:val="annotation reference"/>
    <w:basedOn w:val="16"/>
    <w:qFormat/>
    <w:uiPriority w:val="0"/>
    <w:rPr>
      <w:sz w:val="21"/>
      <w:szCs w:val="21"/>
    </w:rPr>
  </w:style>
  <w:style w:type="character" w:customStyle="1" w:styleId="19">
    <w:name w:val="font61"/>
    <w:basedOn w:val="16"/>
    <w:qFormat/>
    <w:uiPriority w:val="0"/>
    <w:rPr>
      <w:rFonts w:hint="default" w:ascii="Times New Roman" w:hAnsi="Times New Roman" w:cs="Times New Roman"/>
      <w:b/>
      <w:bCs/>
      <w:color w:val="000000"/>
      <w:sz w:val="22"/>
      <w:szCs w:val="22"/>
      <w:u w:val="none"/>
    </w:rPr>
  </w:style>
  <w:style w:type="character" w:customStyle="1" w:styleId="20">
    <w:name w:val="font11"/>
    <w:basedOn w:val="16"/>
    <w:qFormat/>
    <w:uiPriority w:val="0"/>
    <w:rPr>
      <w:rFonts w:hint="eastAsia" w:ascii="宋体" w:hAnsi="宋体" w:eastAsia="宋体" w:cs="宋体"/>
      <w:b/>
      <w:bCs/>
      <w:color w:val="000000"/>
      <w:sz w:val="22"/>
      <w:szCs w:val="22"/>
      <w:u w:val="none"/>
    </w:rPr>
  </w:style>
  <w:style w:type="character" w:customStyle="1" w:styleId="21">
    <w:name w:val="font51"/>
    <w:basedOn w:val="16"/>
    <w:qFormat/>
    <w:uiPriority w:val="0"/>
    <w:rPr>
      <w:rFonts w:hint="eastAsia" w:ascii="宋体" w:hAnsi="宋体" w:eastAsia="宋体" w:cs="宋体"/>
      <w:b/>
      <w:bCs/>
      <w:color w:val="4BACC6"/>
      <w:sz w:val="22"/>
      <w:szCs w:val="22"/>
      <w:u w:val="none"/>
    </w:rPr>
  </w:style>
  <w:style w:type="character" w:customStyle="1" w:styleId="22">
    <w:name w:val="font91"/>
    <w:basedOn w:val="16"/>
    <w:qFormat/>
    <w:uiPriority w:val="0"/>
    <w:rPr>
      <w:rFonts w:hint="default" w:ascii="Times New Roman" w:hAnsi="Times New Roman" w:cs="Times New Roman"/>
      <w:b/>
      <w:bCs/>
      <w:color w:val="4BACC6"/>
      <w:sz w:val="22"/>
      <w:szCs w:val="22"/>
      <w:u w:val="none"/>
    </w:rPr>
  </w:style>
  <w:style w:type="character" w:customStyle="1" w:styleId="23">
    <w:name w:val="font31"/>
    <w:basedOn w:val="16"/>
    <w:qFormat/>
    <w:uiPriority w:val="0"/>
    <w:rPr>
      <w:rFonts w:hint="eastAsia" w:ascii="宋体" w:hAnsi="宋体" w:eastAsia="宋体" w:cs="宋体"/>
      <w:color w:val="C00000"/>
      <w:sz w:val="22"/>
      <w:szCs w:val="22"/>
      <w:u w:val="none"/>
    </w:rPr>
  </w:style>
  <w:style w:type="character" w:customStyle="1" w:styleId="24">
    <w:name w:val="font81"/>
    <w:basedOn w:val="16"/>
    <w:qFormat/>
    <w:uiPriority w:val="0"/>
    <w:rPr>
      <w:rFonts w:hint="eastAsia" w:ascii="宋体" w:hAnsi="宋体" w:eastAsia="宋体" w:cs="宋体"/>
      <w:color w:val="000000"/>
      <w:sz w:val="22"/>
      <w:szCs w:val="22"/>
      <w:u w:val="none"/>
    </w:rPr>
  </w:style>
  <w:style w:type="paragraph" w:customStyle="1" w:styleId="25">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6">
    <w:name w:val="批注文字 字符"/>
    <w:basedOn w:val="16"/>
    <w:link w:val="6"/>
    <w:qFormat/>
    <w:uiPriority w:val="0"/>
    <w:rPr>
      <w:rFonts w:asciiTheme="minorHAnsi" w:hAnsiTheme="minorHAnsi" w:eastAsiaTheme="minorEastAsia" w:cstheme="minorBidi"/>
      <w:kern w:val="2"/>
      <w:sz w:val="21"/>
      <w:szCs w:val="22"/>
    </w:rPr>
  </w:style>
  <w:style w:type="character" w:customStyle="1" w:styleId="27">
    <w:name w:val="批注主题 字符"/>
    <w:basedOn w:val="26"/>
    <w:link w:val="13"/>
    <w:qFormat/>
    <w:uiPriority w:val="0"/>
    <w:rPr>
      <w:rFonts w:asciiTheme="minorHAnsi" w:hAnsiTheme="minorHAnsi" w:eastAsiaTheme="minorEastAsia" w:cstheme="minorBidi"/>
      <w:b/>
      <w:bCs/>
      <w:kern w:val="2"/>
      <w:sz w:val="21"/>
      <w:szCs w:val="22"/>
    </w:rPr>
  </w:style>
  <w:style w:type="character" w:customStyle="1" w:styleId="28">
    <w:name w:val="页眉 字符"/>
    <w:basedOn w:val="16"/>
    <w:link w:val="11"/>
    <w:qFormat/>
    <w:uiPriority w:val="0"/>
    <w:rPr>
      <w:rFonts w:asciiTheme="minorHAnsi" w:hAnsiTheme="minorHAnsi" w:eastAsiaTheme="minorEastAsia" w:cstheme="minorBidi"/>
      <w:kern w:val="2"/>
      <w:sz w:val="18"/>
      <w:szCs w:val="18"/>
    </w:rPr>
  </w:style>
  <w:style w:type="character" w:customStyle="1" w:styleId="29">
    <w:name w:val="批注框文本 字符"/>
    <w:basedOn w:val="16"/>
    <w:link w:val="9"/>
    <w:qFormat/>
    <w:uiPriority w:val="0"/>
    <w:rPr>
      <w:rFonts w:asciiTheme="minorHAnsi" w:hAnsiTheme="minorHAnsi" w:eastAsiaTheme="minorEastAsia" w:cstheme="minorBidi"/>
      <w:kern w:val="2"/>
      <w:sz w:val="18"/>
      <w:szCs w:val="18"/>
    </w:rPr>
  </w:style>
  <w:style w:type="paragraph" w:styleId="30">
    <w:name w:val="List Paragraph"/>
    <w:basedOn w:val="1"/>
    <w:qFormat/>
    <w:uiPriority w:val="99"/>
    <w:pPr>
      <w:ind w:firstLine="420" w:firstLineChars="200"/>
    </w:pPr>
  </w:style>
  <w:style w:type="paragraph" w:customStyle="1" w:styleId="31">
    <w:name w:val="修订2"/>
    <w:hidden/>
    <w:semiHidden/>
    <w:qFormat/>
    <w:uiPriority w:val="99"/>
    <w:rPr>
      <w:rFonts w:asciiTheme="minorHAnsi" w:hAnsiTheme="minorHAnsi" w:eastAsiaTheme="minorEastAsia" w:cstheme="minorBidi"/>
      <w:kern w:val="2"/>
      <w:sz w:val="21"/>
      <w:szCs w:val="22"/>
      <w:lang w:val="en-US" w:eastAsia="zh-CN" w:bidi="ar-SA"/>
    </w:rPr>
  </w:style>
  <w:style w:type="table" w:customStyle="1" w:styleId="32">
    <w:name w:val="Table Normal"/>
    <w:semiHidden/>
    <w:unhideWhenUsed/>
    <w:qFormat/>
    <w:uiPriority w:val="0"/>
    <w:tblPr>
      <w:tblCellMar>
        <w:top w:w="0" w:type="dxa"/>
        <w:left w:w="0" w:type="dxa"/>
        <w:bottom w:w="0" w:type="dxa"/>
        <w:right w:w="0" w:type="dxa"/>
      </w:tblCellMar>
    </w:tblPr>
  </w:style>
  <w:style w:type="character" w:customStyle="1" w:styleId="33">
    <w:name w:val="标题 1 Char"/>
    <w:link w:val="4"/>
    <w:qFormat/>
    <w:uiPriority w:val="9"/>
    <w:rPr>
      <w:rFonts w:ascii="宋体" w:hAnsi="宋体" w:eastAsia="宋体" w:cs="宋体"/>
      <w:b/>
      <w:bCs/>
      <w:kern w:val="36"/>
      <w:sz w:val="48"/>
      <w:szCs w:val="48"/>
    </w:rPr>
  </w:style>
  <w:style w:type="paragraph" w:customStyle="1" w:styleId="34">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footer" Target="footer1.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header" Target="header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jw</Company>
  <Pages>55</Pages>
  <Words>16799</Words>
  <Characters>17868</Characters>
  <Lines>108</Lines>
  <Paragraphs>30</Paragraphs>
  <TotalTime>23</TotalTime>
  <ScaleCrop>false</ScaleCrop>
  <LinksUpToDate>false</LinksUpToDate>
  <CharactersWithSpaces>18320</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2022-08-30T00:59:00Z</dcterms:created>
  <dc:creator>烟如织</dc:creator>
  <cp:lastModifiedBy>孙兴浩</cp:lastModifiedBy>
  <cp:lastPrinted>2022-11-14T06:39:00Z</cp:lastPrinted>
  <dcterms:modified xsi:type="dcterms:W3CDTF">2023-01-05T09:54:19Z</dcterms:modified>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3282EA5C703A4B19A6A3673A5F33F333</vt:lpwstr>
  </property>
</Properties>
</file>