
<file path=[Content_Types].xml><?xml version="1.0" encoding="utf-8"?>
<Types xmlns="http://schemas.openxmlformats.org/package/2006/content-types">
  <Default Extension="wmf" ContentType="image/x-wmf"/>
  <Default Extension="xlsx" ContentType="application/vnd.openxmlformats-officedocument.spreadsheetml.sheet"/>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style1.xml" ContentType="application/vnd.ms-office.chartstyle+xml"/>
  <Override PartName="/word/charts/style2.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jc w:val="both"/>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jc w:val="both"/>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 w:val="0"/>
          <w:bCs/>
          <w:color w:val="auto"/>
          <w:sz w:val="48"/>
          <w:szCs w:val="48"/>
        </w:rPr>
      </w:pPr>
      <w:r>
        <w:rPr>
          <w:rFonts w:hint="eastAsia" w:ascii="方正小标宋简体" w:hAnsi="宋体" w:eastAsia="方正小标宋简体" w:cs="宋体"/>
          <w:b w:val="0"/>
          <w:bCs/>
          <w:color w:val="auto"/>
          <w:sz w:val="48"/>
          <w:szCs w:val="48"/>
        </w:rPr>
        <w:t>渭南市红星中等职业学校</w:t>
      </w: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 w:val="0"/>
          <w:bCs/>
          <w:color w:val="auto"/>
          <w:sz w:val="48"/>
          <w:szCs w:val="48"/>
        </w:rPr>
      </w:pPr>
      <w:r>
        <w:rPr>
          <w:rFonts w:hint="eastAsia" w:ascii="方正小标宋简体" w:hAnsi="宋体" w:eastAsia="方正小标宋简体" w:cs="宋体"/>
          <w:b w:val="0"/>
          <w:bCs/>
          <w:color w:val="auto"/>
          <w:sz w:val="48"/>
          <w:szCs w:val="48"/>
        </w:rPr>
        <w:t>20</w:t>
      </w:r>
      <w:r>
        <w:rPr>
          <w:rFonts w:hint="eastAsia" w:ascii="方正小标宋简体" w:hAnsi="宋体" w:eastAsia="方正小标宋简体" w:cs="宋体"/>
          <w:b w:val="0"/>
          <w:bCs/>
          <w:color w:val="auto"/>
          <w:sz w:val="48"/>
          <w:szCs w:val="48"/>
          <w:lang w:val="en-US" w:eastAsia="zh-CN"/>
        </w:rPr>
        <w:t>22</w:t>
      </w:r>
      <w:r>
        <w:rPr>
          <w:rFonts w:hint="eastAsia" w:ascii="方正小标宋简体" w:hAnsi="宋体" w:eastAsia="方正小标宋简体" w:cs="宋体"/>
          <w:b w:val="0"/>
          <w:bCs/>
          <w:color w:val="auto"/>
          <w:sz w:val="48"/>
          <w:szCs w:val="48"/>
        </w:rPr>
        <w:t>年</w:t>
      </w:r>
      <w:r>
        <w:rPr>
          <w:rFonts w:hint="eastAsia" w:ascii="方正小标宋简体" w:hAnsi="宋体" w:eastAsia="方正小标宋简体" w:cs="宋体"/>
          <w:b w:val="0"/>
          <w:bCs/>
          <w:color w:val="auto"/>
          <w:sz w:val="48"/>
          <w:szCs w:val="48"/>
          <w:lang w:eastAsia="zh-CN"/>
        </w:rPr>
        <w:t>度教育</w:t>
      </w:r>
      <w:r>
        <w:rPr>
          <w:rFonts w:hint="eastAsia" w:ascii="方正小标宋简体" w:hAnsi="宋体" w:eastAsia="方正小标宋简体" w:cs="宋体"/>
          <w:b w:val="0"/>
          <w:bCs/>
          <w:color w:val="auto"/>
          <w:sz w:val="48"/>
          <w:szCs w:val="48"/>
        </w:rPr>
        <w:t>质量报告</w:t>
      </w: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44"/>
          <w:szCs w:val="44"/>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44"/>
          <w:szCs w:val="44"/>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44"/>
          <w:szCs w:val="44"/>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44"/>
          <w:szCs w:val="44"/>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44"/>
          <w:szCs w:val="44"/>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44"/>
          <w:szCs w:val="44"/>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44"/>
          <w:szCs w:val="44"/>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44"/>
          <w:szCs w:val="44"/>
          <w:lang w:eastAsia="zh-CN"/>
        </w:rPr>
      </w:pPr>
      <w:r>
        <w:rPr>
          <w:rFonts w:hint="eastAsia" w:ascii="方正小标宋简体" w:hAnsi="宋体" w:eastAsia="方正小标宋简体" w:cs="宋体"/>
          <w:bCs/>
          <w:color w:val="auto"/>
          <w:sz w:val="40"/>
          <w:szCs w:val="40"/>
          <w:lang w:eastAsia="zh-CN"/>
        </w:rPr>
        <w:t>二〇二二年十二月三十日</w:t>
      </w: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36"/>
          <w:szCs w:val="36"/>
          <w:lang w:val="en-US" w:eastAsia="zh-CN"/>
        </w:rPr>
      </w:pPr>
      <w:r>
        <w:rPr>
          <w:rFonts w:hint="eastAsia" w:ascii="方正小标宋简体" w:hAnsi="宋体" w:eastAsia="方正小标宋简体" w:cs="宋体"/>
          <w:bCs/>
          <w:color w:val="auto"/>
          <w:sz w:val="36"/>
          <w:szCs w:val="36"/>
          <w:lang w:val="en-US" w:eastAsia="zh-CN"/>
        </w:rPr>
        <w:t xml:space="preserve">  </w:t>
      </w: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36"/>
          <w:szCs w:val="36"/>
          <w:lang w:val="en-US" w:eastAsia="zh-CN"/>
        </w:rPr>
      </w:pPr>
    </w:p>
    <w:p>
      <w:pPr>
        <w:keepNext w:val="0"/>
        <w:keepLines w:val="0"/>
        <w:pageBreakBefore w:val="0"/>
        <w:kinsoku/>
        <w:wordWrap/>
        <w:overflowPunct w:val="0"/>
        <w:topLinePunct w:val="0"/>
        <w:autoSpaceDE/>
        <w:autoSpaceDN/>
        <w:bidi w:val="0"/>
        <w:adjustRightInd/>
        <w:jc w:val="center"/>
        <w:textAlignment w:val="auto"/>
        <w:rPr>
          <w:rFonts w:hint="eastAsia" w:ascii="方正小标宋简体" w:hAnsi="宋体" w:eastAsia="方正小标宋简体" w:cs="宋体"/>
          <w:bCs/>
          <w:color w:val="auto"/>
          <w:sz w:val="36"/>
          <w:szCs w:val="36"/>
          <w:lang w:val="en-US" w:eastAsia="zh-CN"/>
        </w:rPr>
      </w:pPr>
    </w:p>
    <w:p>
      <w:pPr>
        <w:keepNext w:val="0"/>
        <w:keepLines w:val="0"/>
        <w:pageBreakBefore w:val="0"/>
        <w:kinsoku/>
        <w:wordWrap/>
        <w:overflowPunct w:val="0"/>
        <w:topLinePunct w:val="0"/>
        <w:autoSpaceDE/>
        <w:autoSpaceDN/>
        <w:bidi w:val="0"/>
        <w:adjustRightInd/>
        <w:snapToGrid w:val="0"/>
        <w:spacing w:line="618" w:lineRule="exact"/>
        <w:jc w:val="both"/>
        <w:textAlignment w:val="auto"/>
        <w:rPr>
          <w:rFonts w:hint="eastAsia" w:ascii="方正小标宋简体" w:hAnsi="宋体" w:eastAsia="方正小标宋简体" w:cs="宋体"/>
          <w:b w:val="0"/>
          <w:bCs/>
          <w:color w:val="auto"/>
          <w:sz w:val="44"/>
          <w:szCs w:val="44"/>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 w:val="0"/>
          <w:bCs/>
          <w:color w:val="auto"/>
          <w:sz w:val="44"/>
          <w:szCs w:val="44"/>
        </w:rPr>
      </w:pPr>
      <w:r>
        <w:rPr>
          <w:rFonts w:hint="eastAsia" w:ascii="方正小标宋简体" w:hAnsi="宋体" w:eastAsia="方正小标宋简体" w:cs="宋体"/>
          <w:b w:val="0"/>
          <w:bCs/>
          <w:color w:val="auto"/>
          <w:sz w:val="44"/>
          <w:szCs w:val="44"/>
        </w:rPr>
        <w:t>内容真实性责任声明</w:t>
      </w: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44"/>
          <w:szCs w:val="44"/>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left"/>
        <w:textAlignment w:val="auto"/>
        <w:rPr>
          <w:rFonts w:hint="eastAsia" w:ascii="仿宋_GB2312" w:hAnsi="宋体" w:eastAsia="仿宋_GB2312" w:cs="仿宋_GB2312"/>
          <w:color w:val="auto"/>
          <w:kern w:val="0"/>
          <w:sz w:val="32"/>
          <w:szCs w:val="32"/>
          <w:lang w:val="en-US" w:eastAsia="zh-CN" w:bidi="ar"/>
        </w:rPr>
      </w:pPr>
      <w:r>
        <w:rPr>
          <w:rFonts w:ascii="仿宋_GB2312" w:hAnsi="宋体" w:eastAsia="仿宋_GB2312" w:cs="仿宋_GB2312"/>
          <w:color w:val="auto"/>
          <w:kern w:val="0"/>
          <w:sz w:val="32"/>
          <w:szCs w:val="32"/>
          <w:lang w:val="en-US" w:eastAsia="zh-CN" w:bidi="ar"/>
        </w:rPr>
        <w:t>学校对</w:t>
      </w:r>
      <w:r>
        <w:rPr>
          <w:rFonts w:hint="eastAsia" w:ascii="仿宋_GB2312" w:hAnsi="宋体" w:eastAsia="仿宋_GB2312" w:cs="仿宋_GB2312"/>
          <w:color w:val="auto"/>
          <w:kern w:val="0"/>
          <w:sz w:val="32"/>
          <w:szCs w:val="32"/>
          <w:u w:val="single"/>
          <w:lang w:val="en-US" w:eastAsia="zh-CN" w:bidi="ar"/>
        </w:rPr>
        <w:t xml:space="preserve"> 渭南市红星中等职业学校 </w:t>
      </w:r>
      <w:r>
        <w:rPr>
          <w:rFonts w:hint="eastAsia" w:ascii="仿宋_GB2312" w:hAnsi="宋体" w:eastAsia="仿宋_GB2312" w:cs="仿宋_GB2312"/>
          <w:color w:val="auto"/>
          <w:kern w:val="0"/>
          <w:sz w:val="32"/>
          <w:szCs w:val="32"/>
          <w:lang w:val="en-US" w:eastAsia="zh-CN" w:bidi="ar"/>
        </w:rPr>
        <w:t>质量年度报告（</w:t>
      </w:r>
      <w:r>
        <w:rPr>
          <w:rFonts w:hint="default" w:ascii="Times New Roman" w:hAnsi="Times New Roman" w:eastAsia="宋体" w:cs="Times New Roman"/>
          <w:color w:val="auto"/>
          <w:kern w:val="0"/>
          <w:sz w:val="32"/>
          <w:szCs w:val="32"/>
          <w:lang w:val="en-US" w:eastAsia="zh-CN" w:bidi="ar"/>
        </w:rPr>
        <w:t>202</w:t>
      </w:r>
      <w:r>
        <w:rPr>
          <w:rFonts w:hint="eastAsia" w:ascii="Times New Roman" w:hAnsi="Times New Roman" w:eastAsia="宋体" w:cs="Times New Roman"/>
          <w:color w:val="auto"/>
          <w:kern w:val="0"/>
          <w:sz w:val="32"/>
          <w:szCs w:val="32"/>
          <w:lang w:val="en-US" w:eastAsia="zh-CN" w:bidi="ar"/>
        </w:rPr>
        <w:t>2</w:t>
      </w:r>
      <w:r>
        <w:rPr>
          <w:rFonts w:hint="eastAsia" w:ascii="仿宋_GB2312" w:hAnsi="宋体" w:eastAsia="仿宋_GB2312" w:cs="仿宋_GB2312"/>
          <w:color w:val="auto"/>
          <w:kern w:val="0"/>
          <w:sz w:val="32"/>
          <w:szCs w:val="32"/>
          <w:lang w:val="en-US" w:eastAsia="zh-CN" w:bidi="ar"/>
        </w:rPr>
        <w:t>）及相关附件的真实性、完整性和准确性负责。</w:t>
      </w: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left"/>
        <w:textAlignment w:val="auto"/>
        <w:rPr>
          <w:rFonts w:hint="eastAsia" w:ascii="仿宋_GB2312" w:hAnsi="宋体" w:eastAsia="仿宋_GB2312" w:cs="仿宋_GB2312"/>
          <w:color w:val="auto"/>
          <w:kern w:val="0"/>
          <w:sz w:val="32"/>
          <w:szCs w:val="32"/>
          <w:lang w:val="en-US" w:eastAsia="zh-CN" w:bidi="ar"/>
        </w:rPr>
      </w:pPr>
      <w:r>
        <w:rPr>
          <w:rFonts w:hint="eastAsia" w:ascii="仿宋_GB2312" w:hAnsi="宋体" w:eastAsia="仿宋_GB2312" w:cs="仿宋_GB2312"/>
          <w:color w:val="auto"/>
          <w:kern w:val="0"/>
          <w:sz w:val="32"/>
          <w:szCs w:val="32"/>
          <w:lang w:val="en-US" w:eastAsia="zh-CN" w:bidi="ar"/>
        </w:rPr>
        <w:t>特此声明。</w:t>
      </w: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left"/>
        <w:textAlignment w:val="auto"/>
        <w:rPr>
          <w:rFonts w:hint="eastAsia" w:ascii="仿宋_GB2312" w:hAnsi="宋体" w:eastAsia="仿宋_GB2312" w:cs="仿宋_GB2312"/>
          <w:color w:val="auto"/>
          <w:kern w:val="0"/>
          <w:sz w:val="32"/>
          <w:szCs w:val="32"/>
          <w:lang w:val="en-US" w:eastAsia="zh-CN" w:bidi="ar"/>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left"/>
        <w:textAlignment w:val="auto"/>
        <w:rPr>
          <w:rFonts w:hint="eastAsia" w:ascii="仿宋_GB2312" w:hAnsi="宋体" w:eastAsia="仿宋_GB2312" w:cs="仿宋_GB2312"/>
          <w:color w:val="auto"/>
          <w:kern w:val="0"/>
          <w:sz w:val="32"/>
          <w:szCs w:val="32"/>
          <w:lang w:val="en-US" w:eastAsia="zh-CN" w:bidi="ar"/>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left"/>
        <w:textAlignment w:val="auto"/>
        <w:rPr>
          <w:rFonts w:hint="eastAsia" w:ascii="仿宋_GB2312" w:hAnsi="宋体" w:eastAsia="仿宋_GB2312" w:cs="仿宋_GB2312"/>
          <w:color w:val="auto"/>
          <w:kern w:val="0"/>
          <w:sz w:val="32"/>
          <w:szCs w:val="32"/>
          <w:lang w:val="en-US" w:eastAsia="zh-CN" w:bidi="ar"/>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left"/>
        <w:textAlignment w:val="auto"/>
        <w:rPr>
          <w:rFonts w:hint="eastAsia" w:ascii="仿宋_GB2312" w:hAnsi="宋体" w:eastAsia="仿宋_GB2312" w:cs="仿宋_GB2312"/>
          <w:color w:val="auto"/>
          <w:kern w:val="0"/>
          <w:sz w:val="32"/>
          <w:szCs w:val="32"/>
          <w:lang w:val="en-US" w:eastAsia="zh-CN" w:bidi="ar"/>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left"/>
        <w:textAlignment w:val="auto"/>
        <w:rPr>
          <w:rFonts w:hint="eastAsia" w:ascii="仿宋_GB2312" w:hAnsi="宋体" w:eastAsia="仿宋_GB2312" w:cs="仿宋_GB2312"/>
          <w:color w:val="auto"/>
          <w:kern w:val="0"/>
          <w:sz w:val="32"/>
          <w:szCs w:val="32"/>
          <w:lang w:val="en-US" w:eastAsia="zh-CN" w:bidi="ar"/>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left"/>
        <w:textAlignment w:val="auto"/>
        <w:rPr>
          <w:rFonts w:hint="eastAsia" w:ascii="仿宋_GB2312" w:hAnsi="宋体" w:eastAsia="仿宋_GB2312" w:cs="仿宋_GB2312"/>
          <w:color w:val="auto"/>
          <w:kern w:val="0"/>
          <w:sz w:val="32"/>
          <w:szCs w:val="32"/>
          <w:lang w:val="en-US" w:eastAsia="zh-CN" w:bidi="ar"/>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left"/>
        <w:textAlignment w:val="auto"/>
        <w:rPr>
          <w:rFonts w:hint="eastAsia" w:ascii="仿宋_GB2312" w:hAnsi="宋体" w:eastAsia="仿宋_GB2312" w:cs="仿宋_GB2312"/>
          <w:color w:val="auto"/>
          <w:kern w:val="0"/>
          <w:sz w:val="32"/>
          <w:szCs w:val="32"/>
          <w:lang w:val="en-US" w:eastAsia="zh-CN" w:bidi="ar"/>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center"/>
        <w:textAlignment w:val="auto"/>
        <w:rPr>
          <w:rFonts w:hint="eastAsia" w:ascii="仿宋_GB2312" w:hAnsi="宋体" w:eastAsia="仿宋_GB2312" w:cs="仿宋_GB2312"/>
          <w:color w:val="auto"/>
          <w:kern w:val="0"/>
          <w:sz w:val="32"/>
          <w:szCs w:val="32"/>
          <w:lang w:val="en-US" w:eastAsia="zh-CN" w:bidi="ar"/>
        </w:rPr>
      </w:pPr>
      <w:r>
        <w:rPr>
          <w:rFonts w:hint="eastAsia" w:ascii="仿宋_GB2312" w:hAnsi="宋体" w:eastAsia="仿宋_GB2312" w:cs="仿宋_GB2312"/>
          <w:color w:val="auto"/>
          <w:kern w:val="0"/>
          <w:sz w:val="32"/>
          <w:szCs w:val="32"/>
          <w:lang w:val="en-US" w:eastAsia="zh-CN" w:bidi="ar"/>
        </w:rPr>
        <w:t>单位名称（盖章）：渭南市红星中等职业学校</w:t>
      </w: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1280" w:firstLineChars="400"/>
        <w:jc w:val="both"/>
        <w:textAlignment w:val="auto"/>
        <w:rPr>
          <w:rFonts w:hint="eastAsia" w:ascii="仿宋_GB2312" w:hAnsi="宋体" w:eastAsia="仿宋_GB2312" w:cs="仿宋_GB2312"/>
          <w:color w:val="auto"/>
          <w:kern w:val="0"/>
          <w:sz w:val="32"/>
          <w:szCs w:val="32"/>
          <w:lang w:val="en-US" w:eastAsia="zh-CN" w:bidi="ar"/>
        </w:rPr>
      </w:pPr>
      <w:r>
        <w:rPr>
          <w:rFonts w:hint="eastAsia" w:ascii="仿宋_GB2312" w:hAnsi="宋体" w:eastAsia="仿宋_GB2312" w:cs="仿宋_GB2312"/>
          <w:color w:val="auto"/>
          <w:kern w:val="0"/>
          <w:sz w:val="32"/>
          <w:szCs w:val="32"/>
          <w:lang w:val="en-US" w:eastAsia="zh-CN" w:bidi="ar"/>
        </w:rPr>
        <w:t>法定代表人（签名）：</w:t>
      </w: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1280" w:firstLineChars="400"/>
        <w:jc w:val="both"/>
        <w:textAlignment w:val="auto"/>
        <w:rPr>
          <w:rFonts w:hint="eastAsia" w:ascii="仿宋_GB2312" w:hAnsi="宋体" w:eastAsia="仿宋_GB2312" w:cs="仿宋_GB2312"/>
          <w:color w:val="auto"/>
          <w:kern w:val="0"/>
          <w:sz w:val="32"/>
          <w:szCs w:val="32"/>
          <w:lang w:val="en-US" w:eastAsia="zh-CN" w:bidi="ar"/>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1280" w:firstLineChars="400"/>
        <w:jc w:val="both"/>
        <w:textAlignment w:val="auto"/>
        <w:rPr>
          <w:rFonts w:hint="eastAsia" w:ascii="仿宋_GB2312" w:hAnsi="宋体" w:eastAsia="仿宋_GB2312" w:cs="仿宋_GB2312"/>
          <w:color w:val="auto"/>
          <w:kern w:val="0"/>
          <w:sz w:val="32"/>
          <w:szCs w:val="32"/>
          <w:lang w:val="en-US" w:eastAsia="zh-CN" w:bidi="ar"/>
        </w:rPr>
      </w:pPr>
    </w:p>
    <w:p>
      <w:pPr>
        <w:keepNext w:val="0"/>
        <w:keepLines w:val="0"/>
        <w:pageBreakBefore w:val="0"/>
        <w:widowControl/>
        <w:suppressLineNumbers w:val="0"/>
        <w:kinsoku/>
        <w:wordWrap/>
        <w:overflowPunct w:val="0"/>
        <w:topLinePunct w:val="0"/>
        <w:autoSpaceDE/>
        <w:autoSpaceDN/>
        <w:bidi w:val="0"/>
        <w:adjustRightInd/>
        <w:snapToGrid/>
        <w:spacing w:line="360" w:lineRule="auto"/>
        <w:ind w:firstLine="640" w:firstLineChars="200"/>
        <w:jc w:val="center"/>
        <w:textAlignment w:val="auto"/>
        <w:rPr>
          <w:rFonts w:hint="default" w:ascii="仿宋_GB2312" w:hAnsi="宋体" w:eastAsia="仿宋_GB2312" w:cs="仿宋_GB2312"/>
          <w:color w:val="auto"/>
          <w:kern w:val="0"/>
          <w:sz w:val="32"/>
          <w:szCs w:val="32"/>
          <w:lang w:val="en-US" w:eastAsia="zh-CN" w:bidi="ar"/>
        </w:rPr>
      </w:pPr>
      <w:r>
        <w:rPr>
          <w:rFonts w:hint="eastAsia" w:ascii="仿宋_GB2312" w:hAnsi="宋体" w:eastAsia="仿宋_GB2312" w:cs="仿宋_GB2312"/>
          <w:color w:val="auto"/>
          <w:kern w:val="0"/>
          <w:sz w:val="32"/>
          <w:szCs w:val="32"/>
          <w:lang w:val="en-US" w:eastAsia="zh-CN" w:bidi="ar"/>
        </w:rPr>
        <w:t xml:space="preserve">                      2022年12月30日</w:t>
      </w: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both"/>
        <w:textAlignment w:val="auto"/>
        <w:outlineLvl w:val="0"/>
        <w:rPr>
          <w:rFonts w:hint="eastAsia" w:ascii="方正小标宋简体" w:hAnsi="宋体" w:eastAsia="方正小标宋简体" w:cs="宋体"/>
          <w:bCs/>
          <w:color w:val="auto"/>
          <w:sz w:val="36"/>
          <w:szCs w:val="36"/>
        </w:rPr>
      </w:pPr>
    </w:p>
    <w:sdt>
      <w:sdtPr>
        <w:rPr>
          <w:rFonts w:ascii="宋体" w:hAnsi="宋体" w:eastAsia="宋体" w:cstheme="minorBidi"/>
          <w:kern w:val="2"/>
          <w:sz w:val="21"/>
          <w:szCs w:val="24"/>
          <w:lang w:val="en-US" w:eastAsia="zh-CN" w:bidi="ar-SA"/>
        </w:rPr>
        <w:id w:val="147478577"/>
        <w15:color w:val="DBDBDB"/>
        <w:docPartObj>
          <w:docPartGallery w:val="Table of Contents"/>
          <w:docPartUnique/>
        </w:docPartObj>
      </w:sdtPr>
      <w:sdtEndPr>
        <w:rPr>
          <w:rFonts w:hint="eastAsia" w:ascii="方正小标宋简体" w:hAnsi="宋体" w:eastAsia="方正小标宋简体" w:cs="宋体"/>
          <w:bCs/>
          <w:color w:val="auto"/>
          <w:kern w:val="2"/>
          <w:sz w:val="21"/>
          <w:szCs w:val="36"/>
          <w:lang w:val="en-US" w:eastAsia="zh-CN" w:bidi="ar-SA"/>
        </w:rPr>
      </w:sdtEndPr>
      <w:sdtContent>
        <w:p>
          <w:pPr>
            <w:keepNext w:val="0"/>
            <w:keepLines w:val="0"/>
            <w:pageBreakBefore w:val="0"/>
            <w:kinsoku/>
            <w:wordWrap/>
            <w:overflowPunct w:val="0"/>
            <w:topLinePunct w:val="0"/>
            <w:autoSpaceDE/>
            <w:autoSpaceDN/>
            <w:bidi w:val="0"/>
            <w:adjustRightInd/>
            <w:spacing w:before="0" w:beforeLines="0" w:after="0" w:afterLines="0" w:line="240" w:lineRule="auto"/>
            <w:ind w:left="0" w:leftChars="0" w:right="0" w:rightChars="0" w:firstLine="0" w:firstLineChars="0"/>
            <w:jc w:val="center"/>
            <w:textAlignment w:val="auto"/>
            <w:rPr>
              <w:rFonts w:ascii="宋体" w:hAnsi="宋体" w:eastAsia="宋体"/>
              <w:b/>
              <w:bCs/>
              <w:sz w:val="48"/>
              <w:szCs w:val="56"/>
            </w:rPr>
          </w:pPr>
        </w:p>
        <w:p>
          <w:pPr>
            <w:keepNext w:val="0"/>
            <w:keepLines w:val="0"/>
            <w:pageBreakBefore w:val="0"/>
            <w:kinsoku/>
            <w:wordWrap/>
            <w:overflowPunct w:val="0"/>
            <w:topLinePunct w:val="0"/>
            <w:autoSpaceDE/>
            <w:autoSpaceDN/>
            <w:bidi w:val="0"/>
            <w:adjustRightInd/>
            <w:spacing w:before="0" w:beforeLines="0" w:after="0" w:afterLines="0" w:line="240" w:lineRule="auto"/>
            <w:ind w:left="0" w:leftChars="0" w:right="0" w:rightChars="0" w:firstLine="0" w:firstLineChars="0"/>
            <w:jc w:val="center"/>
            <w:textAlignment w:val="auto"/>
            <w:rPr>
              <w:b/>
              <w:bCs/>
              <w:sz w:val="48"/>
              <w:szCs w:val="56"/>
            </w:rPr>
          </w:pPr>
          <w:r>
            <w:rPr>
              <w:rFonts w:ascii="宋体" w:hAnsi="宋体" w:eastAsia="宋体"/>
              <w:b/>
              <w:bCs/>
              <w:sz w:val="48"/>
              <w:szCs w:val="56"/>
            </w:rPr>
            <w:t>目</w:t>
          </w:r>
          <w:r>
            <w:rPr>
              <w:rFonts w:hint="eastAsia" w:ascii="宋体" w:hAnsi="宋体" w:eastAsia="宋体"/>
              <w:b/>
              <w:bCs/>
              <w:sz w:val="48"/>
              <w:szCs w:val="56"/>
              <w:lang w:val="en-US" w:eastAsia="zh-CN"/>
            </w:rPr>
            <w:t xml:space="preserve">  </w:t>
          </w:r>
          <w:r>
            <w:rPr>
              <w:rFonts w:ascii="宋体" w:hAnsi="宋体" w:eastAsia="宋体"/>
              <w:b/>
              <w:bCs/>
              <w:sz w:val="48"/>
              <w:szCs w:val="56"/>
            </w:rPr>
            <w:t>录</w:t>
          </w:r>
        </w:p>
        <w:p>
          <w:pPr>
            <w:pStyle w:val="5"/>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36"/>
              <w:szCs w:val="36"/>
            </w:rPr>
            <w:fldChar w:fldCharType="begin"/>
          </w:r>
          <w:r>
            <w:rPr>
              <w:rFonts w:hint="eastAsia" w:ascii="方正小标宋简体" w:hAnsi="宋体" w:eastAsia="方正小标宋简体" w:cs="宋体"/>
              <w:bCs/>
              <w:color w:val="auto"/>
              <w:sz w:val="36"/>
              <w:szCs w:val="36"/>
            </w:rPr>
            <w:instrText xml:space="preserve">TOC \o "1-3" \h \u </w:instrText>
          </w:r>
          <w:r>
            <w:rPr>
              <w:rFonts w:hint="eastAsia" w:ascii="方正小标宋简体" w:hAnsi="宋体" w:eastAsia="方正小标宋简体" w:cs="宋体"/>
              <w:bCs/>
              <w:color w:val="auto"/>
              <w:sz w:val="36"/>
              <w:szCs w:val="36"/>
            </w:rPr>
            <w:fldChar w:fldCharType="separate"/>
          </w: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_Toc5323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1.学校情况</w:t>
          </w:r>
          <w:r>
            <w:rPr>
              <w:sz w:val="24"/>
              <w:szCs w:val="24"/>
            </w:rPr>
            <w:tab/>
          </w:r>
          <w:r>
            <w:rPr>
              <w:sz w:val="24"/>
              <w:szCs w:val="24"/>
            </w:rPr>
            <w:fldChar w:fldCharType="begin"/>
          </w:r>
          <w:r>
            <w:rPr>
              <w:sz w:val="24"/>
              <w:szCs w:val="24"/>
            </w:rPr>
            <w:instrText xml:space="preserve"> PAGEREF _Toc5323 \h </w:instrText>
          </w:r>
          <w:r>
            <w:rPr>
              <w:sz w:val="24"/>
              <w:szCs w:val="24"/>
            </w:rPr>
            <w:fldChar w:fldCharType="separate"/>
          </w:r>
          <w:r>
            <w:rPr>
              <w:sz w:val="24"/>
              <w:szCs w:val="24"/>
            </w:rPr>
            <w:t>5</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_Toc18851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1.1学校概况</w:t>
          </w:r>
          <w:r>
            <w:rPr>
              <w:sz w:val="24"/>
              <w:szCs w:val="24"/>
            </w:rPr>
            <w:tab/>
          </w:r>
          <w:r>
            <w:rPr>
              <w:sz w:val="24"/>
              <w:szCs w:val="24"/>
            </w:rPr>
            <w:fldChar w:fldCharType="begin"/>
          </w:r>
          <w:r>
            <w:rPr>
              <w:sz w:val="24"/>
              <w:szCs w:val="24"/>
            </w:rPr>
            <w:instrText xml:space="preserve"> PAGEREF _Toc18851 \h </w:instrText>
          </w:r>
          <w:r>
            <w:rPr>
              <w:sz w:val="24"/>
              <w:szCs w:val="24"/>
            </w:rPr>
            <w:fldChar w:fldCharType="separate"/>
          </w:r>
          <w:r>
            <w:rPr>
              <w:sz w:val="24"/>
              <w:szCs w:val="24"/>
            </w:rPr>
            <w:t>5</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_Toc29489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1.2学生情况</w:t>
          </w:r>
          <w:r>
            <w:rPr>
              <w:sz w:val="24"/>
              <w:szCs w:val="24"/>
            </w:rPr>
            <w:tab/>
          </w:r>
          <w:r>
            <w:rPr>
              <w:sz w:val="24"/>
              <w:szCs w:val="24"/>
            </w:rPr>
            <w:fldChar w:fldCharType="begin"/>
          </w:r>
          <w:r>
            <w:rPr>
              <w:sz w:val="24"/>
              <w:szCs w:val="24"/>
            </w:rPr>
            <w:instrText xml:space="preserve"> PAGEREF _Toc29489 \h </w:instrText>
          </w:r>
          <w:r>
            <w:rPr>
              <w:sz w:val="24"/>
              <w:szCs w:val="24"/>
            </w:rPr>
            <w:fldChar w:fldCharType="separate"/>
          </w:r>
          <w:r>
            <w:rPr>
              <w:sz w:val="24"/>
              <w:szCs w:val="24"/>
            </w:rPr>
            <w:t>5</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_Toc25590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1.3教师情况</w:t>
          </w:r>
          <w:r>
            <w:rPr>
              <w:sz w:val="24"/>
              <w:szCs w:val="24"/>
            </w:rPr>
            <w:tab/>
          </w:r>
          <w:r>
            <w:rPr>
              <w:sz w:val="24"/>
              <w:szCs w:val="24"/>
            </w:rPr>
            <w:fldChar w:fldCharType="begin"/>
          </w:r>
          <w:r>
            <w:rPr>
              <w:sz w:val="24"/>
              <w:szCs w:val="24"/>
            </w:rPr>
            <w:instrText xml:space="preserve"> PAGEREF _Toc25590 \h </w:instrText>
          </w:r>
          <w:r>
            <w:rPr>
              <w:sz w:val="24"/>
              <w:szCs w:val="24"/>
            </w:rPr>
            <w:fldChar w:fldCharType="separate"/>
          </w:r>
          <w:r>
            <w:rPr>
              <w:sz w:val="24"/>
              <w:szCs w:val="24"/>
            </w:rPr>
            <w:t>5</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_Toc14412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1.4设施设备</w:t>
          </w:r>
          <w:r>
            <w:rPr>
              <w:sz w:val="24"/>
              <w:szCs w:val="24"/>
            </w:rPr>
            <w:tab/>
          </w:r>
          <w:r>
            <w:rPr>
              <w:sz w:val="24"/>
              <w:szCs w:val="24"/>
            </w:rPr>
            <w:fldChar w:fldCharType="begin"/>
          </w:r>
          <w:r>
            <w:rPr>
              <w:sz w:val="24"/>
              <w:szCs w:val="24"/>
            </w:rPr>
            <w:instrText xml:space="preserve"> PAGEREF _Toc14412 \h </w:instrText>
          </w:r>
          <w:r>
            <w:rPr>
              <w:sz w:val="24"/>
              <w:szCs w:val="24"/>
            </w:rPr>
            <w:fldChar w:fldCharType="separate"/>
          </w:r>
          <w:r>
            <w:rPr>
              <w:sz w:val="24"/>
              <w:szCs w:val="24"/>
            </w:rPr>
            <w:t>6</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5"/>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_Toc14992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2.学生发展质量</w:t>
          </w:r>
          <w:r>
            <w:rPr>
              <w:sz w:val="24"/>
              <w:szCs w:val="24"/>
            </w:rPr>
            <w:tab/>
          </w:r>
          <w:r>
            <w:rPr>
              <w:sz w:val="24"/>
              <w:szCs w:val="24"/>
            </w:rPr>
            <w:fldChar w:fldCharType="begin"/>
          </w:r>
          <w:r>
            <w:rPr>
              <w:sz w:val="24"/>
              <w:szCs w:val="24"/>
            </w:rPr>
            <w:instrText xml:space="preserve"> PAGEREF _Toc14992 \h </w:instrText>
          </w:r>
          <w:r>
            <w:rPr>
              <w:sz w:val="24"/>
              <w:szCs w:val="24"/>
            </w:rPr>
            <w:fldChar w:fldCharType="separate"/>
          </w:r>
          <w:r>
            <w:rPr>
              <w:sz w:val="24"/>
              <w:szCs w:val="24"/>
            </w:rPr>
            <w:t>6</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_Toc7262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2.1党建引领</w:t>
          </w:r>
          <w:r>
            <w:rPr>
              <w:sz w:val="24"/>
              <w:szCs w:val="24"/>
            </w:rPr>
            <w:tab/>
          </w:r>
          <w:r>
            <w:rPr>
              <w:sz w:val="24"/>
              <w:szCs w:val="24"/>
            </w:rPr>
            <w:fldChar w:fldCharType="begin"/>
          </w:r>
          <w:r>
            <w:rPr>
              <w:sz w:val="24"/>
              <w:szCs w:val="24"/>
            </w:rPr>
            <w:instrText xml:space="preserve"> PAGEREF _Toc7262 \h </w:instrText>
          </w:r>
          <w:r>
            <w:rPr>
              <w:sz w:val="24"/>
              <w:szCs w:val="24"/>
            </w:rPr>
            <w:fldChar w:fldCharType="separate"/>
          </w:r>
          <w:r>
            <w:rPr>
              <w:sz w:val="24"/>
              <w:szCs w:val="24"/>
            </w:rPr>
            <w:t>6</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_Toc18899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2.2立德树人</w:t>
          </w:r>
          <w:r>
            <w:rPr>
              <w:sz w:val="24"/>
              <w:szCs w:val="24"/>
            </w:rPr>
            <w:tab/>
          </w:r>
          <w:r>
            <w:rPr>
              <w:sz w:val="24"/>
              <w:szCs w:val="24"/>
            </w:rPr>
            <w:fldChar w:fldCharType="begin"/>
          </w:r>
          <w:r>
            <w:rPr>
              <w:sz w:val="24"/>
              <w:szCs w:val="24"/>
            </w:rPr>
            <w:instrText xml:space="preserve"> PAGEREF _Toc18899 \h </w:instrText>
          </w:r>
          <w:r>
            <w:rPr>
              <w:sz w:val="24"/>
              <w:szCs w:val="24"/>
            </w:rPr>
            <w:fldChar w:fldCharType="separate"/>
          </w:r>
          <w:r>
            <w:rPr>
              <w:sz w:val="24"/>
              <w:szCs w:val="24"/>
            </w:rPr>
            <w:t>7</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_Toc25288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2.3在校体验</w:t>
          </w:r>
          <w:r>
            <w:rPr>
              <w:sz w:val="24"/>
              <w:szCs w:val="24"/>
            </w:rPr>
            <w:tab/>
          </w:r>
          <w:r>
            <w:rPr>
              <w:sz w:val="24"/>
              <w:szCs w:val="24"/>
            </w:rPr>
            <w:fldChar w:fldCharType="begin"/>
          </w:r>
          <w:r>
            <w:rPr>
              <w:sz w:val="24"/>
              <w:szCs w:val="24"/>
            </w:rPr>
            <w:instrText xml:space="preserve"> PAGEREF _Toc25288 \h </w:instrText>
          </w:r>
          <w:r>
            <w:rPr>
              <w:sz w:val="24"/>
              <w:szCs w:val="24"/>
            </w:rPr>
            <w:fldChar w:fldCharType="separate"/>
          </w:r>
          <w:r>
            <w:rPr>
              <w:sz w:val="24"/>
              <w:szCs w:val="24"/>
            </w:rPr>
            <w:t>9</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_Toc9749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2.4就业质量</w:t>
          </w:r>
          <w:r>
            <w:rPr>
              <w:sz w:val="24"/>
              <w:szCs w:val="24"/>
            </w:rPr>
            <w:tab/>
          </w:r>
          <w:r>
            <w:rPr>
              <w:sz w:val="24"/>
              <w:szCs w:val="24"/>
            </w:rPr>
            <w:fldChar w:fldCharType="begin"/>
          </w:r>
          <w:r>
            <w:rPr>
              <w:sz w:val="24"/>
              <w:szCs w:val="24"/>
            </w:rPr>
            <w:instrText xml:space="preserve"> PAGEREF _Toc9749 \h </w:instrText>
          </w:r>
          <w:r>
            <w:rPr>
              <w:sz w:val="24"/>
              <w:szCs w:val="24"/>
            </w:rPr>
            <w:fldChar w:fldCharType="separate"/>
          </w:r>
          <w:r>
            <w:rPr>
              <w:sz w:val="24"/>
              <w:szCs w:val="24"/>
            </w:rPr>
            <w:t>9</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_Toc6940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2.5创新创业</w:t>
          </w:r>
          <w:r>
            <w:rPr>
              <w:sz w:val="24"/>
              <w:szCs w:val="24"/>
            </w:rPr>
            <w:tab/>
          </w:r>
          <w:r>
            <w:rPr>
              <w:sz w:val="24"/>
              <w:szCs w:val="24"/>
            </w:rPr>
            <w:fldChar w:fldCharType="begin"/>
          </w:r>
          <w:r>
            <w:rPr>
              <w:sz w:val="24"/>
              <w:szCs w:val="24"/>
            </w:rPr>
            <w:instrText xml:space="preserve"> PAGEREF _Toc6940 \h </w:instrText>
          </w:r>
          <w:r>
            <w:rPr>
              <w:sz w:val="24"/>
              <w:szCs w:val="24"/>
            </w:rPr>
            <w:fldChar w:fldCharType="separate"/>
          </w:r>
          <w:r>
            <w:rPr>
              <w:sz w:val="24"/>
              <w:szCs w:val="24"/>
            </w:rPr>
            <w:t>10</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5"/>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_Toc751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3.教育教学质量保障措施</w:t>
          </w:r>
          <w:r>
            <w:rPr>
              <w:sz w:val="24"/>
              <w:szCs w:val="24"/>
            </w:rPr>
            <w:tab/>
          </w:r>
          <w:r>
            <w:rPr>
              <w:sz w:val="24"/>
              <w:szCs w:val="24"/>
            </w:rPr>
            <w:fldChar w:fldCharType="begin"/>
          </w:r>
          <w:r>
            <w:rPr>
              <w:sz w:val="24"/>
              <w:szCs w:val="24"/>
            </w:rPr>
            <w:instrText xml:space="preserve"> PAGEREF _Toc751 \h </w:instrText>
          </w:r>
          <w:r>
            <w:rPr>
              <w:sz w:val="24"/>
              <w:szCs w:val="24"/>
            </w:rPr>
            <w:fldChar w:fldCharType="separate"/>
          </w:r>
          <w:r>
            <w:rPr>
              <w:sz w:val="24"/>
              <w:szCs w:val="24"/>
            </w:rPr>
            <w:t>11</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_Toc11182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3.1专业建设质量</w:t>
          </w:r>
          <w:r>
            <w:rPr>
              <w:sz w:val="24"/>
              <w:szCs w:val="24"/>
            </w:rPr>
            <w:tab/>
          </w:r>
          <w:r>
            <w:rPr>
              <w:sz w:val="24"/>
              <w:szCs w:val="24"/>
            </w:rPr>
            <w:fldChar w:fldCharType="begin"/>
          </w:r>
          <w:r>
            <w:rPr>
              <w:sz w:val="24"/>
              <w:szCs w:val="24"/>
            </w:rPr>
            <w:instrText xml:space="preserve"> PAGEREF _Toc11182 \h </w:instrText>
          </w:r>
          <w:r>
            <w:rPr>
              <w:sz w:val="24"/>
              <w:szCs w:val="24"/>
            </w:rPr>
            <w:fldChar w:fldCharType="separate"/>
          </w:r>
          <w:r>
            <w:rPr>
              <w:sz w:val="24"/>
              <w:szCs w:val="24"/>
            </w:rPr>
            <w:t>11</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_Toc12798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3.2课程建设质量</w:t>
          </w:r>
          <w:r>
            <w:rPr>
              <w:sz w:val="24"/>
              <w:szCs w:val="24"/>
            </w:rPr>
            <w:tab/>
          </w:r>
          <w:r>
            <w:rPr>
              <w:sz w:val="24"/>
              <w:szCs w:val="24"/>
            </w:rPr>
            <w:fldChar w:fldCharType="begin"/>
          </w:r>
          <w:r>
            <w:rPr>
              <w:sz w:val="24"/>
              <w:szCs w:val="24"/>
            </w:rPr>
            <w:instrText xml:space="preserve"> PAGEREF _Toc12798 \h </w:instrText>
          </w:r>
          <w:r>
            <w:rPr>
              <w:sz w:val="24"/>
              <w:szCs w:val="24"/>
            </w:rPr>
            <w:fldChar w:fldCharType="separate"/>
          </w:r>
          <w:r>
            <w:rPr>
              <w:sz w:val="24"/>
              <w:szCs w:val="24"/>
            </w:rPr>
            <w:t>11</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_Toc31192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3.3教育教学方法改革</w:t>
          </w:r>
          <w:r>
            <w:rPr>
              <w:sz w:val="24"/>
              <w:szCs w:val="24"/>
            </w:rPr>
            <w:tab/>
          </w:r>
          <w:r>
            <w:rPr>
              <w:sz w:val="24"/>
              <w:szCs w:val="24"/>
            </w:rPr>
            <w:fldChar w:fldCharType="begin"/>
          </w:r>
          <w:r>
            <w:rPr>
              <w:sz w:val="24"/>
              <w:szCs w:val="24"/>
            </w:rPr>
            <w:instrText xml:space="preserve"> PAGEREF _Toc31192 \h </w:instrText>
          </w:r>
          <w:r>
            <w:rPr>
              <w:sz w:val="24"/>
              <w:szCs w:val="24"/>
            </w:rPr>
            <w:fldChar w:fldCharType="separate"/>
          </w:r>
          <w:r>
            <w:rPr>
              <w:sz w:val="24"/>
              <w:szCs w:val="24"/>
            </w:rPr>
            <w:t>12</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_Toc15514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3.4数字化教学资源建设</w:t>
          </w:r>
          <w:r>
            <w:rPr>
              <w:sz w:val="24"/>
              <w:szCs w:val="24"/>
            </w:rPr>
            <w:tab/>
          </w:r>
          <w:r>
            <w:rPr>
              <w:sz w:val="24"/>
              <w:szCs w:val="24"/>
            </w:rPr>
            <w:fldChar w:fldCharType="begin"/>
          </w:r>
          <w:r>
            <w:rPr>
              <w:sz w:val="24"/>
              <w:szCs w:val="24"/>
            </w:rPr>
            <w:instrText xml:space="preserve"> PAGEREF _Toc15514 \h </w:instrText>
          </w:r>
          <w:r>
            <w:rPr>
              <w:sz w:val="24"/>
              <w:szCs w:val="24"/>
            </w:rPr>
            <w:fldChar w:fldCharType="separate"/>
          </w:r>
          <w:r>
            <w:rPr>
              <w:sz w:val="24"/>
              <w:szCs w:val="24"/>
            </w:rPr>
            <w:t>12</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_Toc25940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3.5师资队伍建设</w:t>
          </w:r>
          <w:r>
            <w:rPr>
              <w:sz w:val="24"/>
              <w:szCs w:val="24"/>
            </w:rPr>
            <w:tab/>
          </w:r>
          <w:r>
            <w:rPr>
              <w:sz w:val="24"/>
              <w:szCs w:val="24"/>
            </w:rPr>
            <w:fldChar w:fldCharType="begin"/>
          </w:r>
          <w:r>
            <w:rPr>
              <w:sz w:val="24"/>
              <w:szCs w:val="24"/>
            </w:rPr>
            <w:instrText xml:space="preserve"> PAGEREF _Toc25940 \h </w:instrText>
          </w:r>
          <w:r>
            <w:rPr>
              <w:sz w:val="24"/>
              <w:szCs w:val="24"/>
            </w:rPr>
            <w:fldChar w:fldCharType="separate"/>
          </w:r>
          <w:r>
            <w:rPr>
              <w:sz w:val="24"/>
              <w:szCs w:val="24"/>
            </w:rPr>
            <w:t>12</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_Toc6224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3.6.校企合作双元育人</w:t>
          </w:r>
          <w:r>
            <w:rPr>
              <w:sz w:val="24"/>
              <w:szCs w:val="24"/>
            </w:rPr>
            <w:tab/>
          </w:r>
          <w:r>
            <w:rPr>
              <w:sz w:val="24"/>
              <w:szCs w:val="24"/>
            </w:rPr>
            <w:fldChar w:fldCharType="begin"/>
          </w:r>
          <w:r>
            <w:rPr>
              <w:sz w:val="24"/>
              <w:szCs w:val="24"/>
            </w:rPr>
            <w:instrText xml:space="preserve"> PAGEREF _Toc6224 \h </w:instrText>
          </w:r>
          <w:r>
            <w:rPr>
              <w:sz w:val="24"/>
              <w:szCs w:val="24"/>
            </w:rPr>
            <w:fldChar w:fldCharType="separate"/>
          </w:r>
          <w:r>
            <w:rPr>
              <w:sz w:val="24"/>
              <w:szCs w:val="24"/>
            </w:rPr>
            <w:t>13</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_Toc14160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3.7规范管理情况</w:t>
          </w:r>
          <w:r>
            <w:rPr>
              <w:sz w:val="24"/>
              <w:szCs w:val="24"/>
            </w:rPr>
            <w:tab/>
          </w:r>
          <w:r>
            <w:rPr>
              <w:sz w:val="24"/>
              <w:szCs w:val="24"/>
            </w:rPr>
            <w:fldChar w:fldCharType="begin"/>
          </w:r>
          <w:r>
            <w:rPr>
              <w:sz w:val="24"/>
              <w:szCs w:val="24"/>
            </w:rPr>
            <w:instrText xml:space="preserve"> PAGEREF _Toc14160 \h </w:instrText>
          </w:r>
          <w:r>
            <w:rPr>
              <w:sz w:val="24"/>
              <w:szCs w:val="24"/>
            </w:rPr>
            <w:fldChar w:fldCharType="separate"/>
          </w:r>
          <w:r>
            <w:rPr>
              <w:sz w:val="24"/>
              <w:szCs w:val="24"/>
            </w:rPr>
            <w:t>13</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5"/>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_Toc13346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4.服务贡献质量</w:t>
          </w:r>
          <w:r>
            <w:rPr>
              <w:sz w:val="24"/>
              <w:szCs w:val="24"/>
            </w:rPr>
            <w:tab/>
          </w:r>
          <w:r>
            <w:rPr>
              <w:sz w:val="24"/>
              <w:szCs w:val="24"/>
            </w:rPr>
            <w:fldChar w:fldCharType="begin"/>
          </w:r>
          <w:r>
            <w:rPr>
              <w:sz w:val="24"/>
              <w:szCs w:val="24"/>
            </w:rPr>
            <w:instrText xml:space="preserve"> PAGEREF _Toc13346 \h </w:instrText>
          </w:r>
          <w:r>
            <w:rPr>
              <w:sz w:val="24"/>
              <w:szCs w:val="24"/>
            </w:rPr>
            <w:fldChar w:fldCharType="separate"/>
          </w:r>
          <w:r>
            <w:rPr>
              <w:sz w:val="24"/>
              <w:szCs w:val="24"/>
            </w:rPr>
            <w:t>14</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_Toc27430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4.1服务技术技能人才培养</w:t>
          </w:r>
          <w:r>
            <w:rPr>
              <w:sz w:val="24"/>
              <w:szCs w:val="24"/>
            </w:rPr>
            <w:tab/>
          </w:r>
          <w:r>
            <w:rPr>
              <w:sz w:val="24"/>
              <w:szCs w:val="24"/>
            </w:rPr>
            <w:fldChar w:fldCharType="begin"/>
          </w:r>
          <w:r>
            <w:rPr>
              <w:sz w:val="24"/>
              <w:szCs w:val="24"/>
            </w:rPr>
            <w:instrText xml:space="preserve"> PAGEREF _Toc27430 \h </w:instrText>
          </w:r>
          <w:r>
            <w:rPr>
              <w:sz w:val="24"/>
              <w:szCs w:val="24"/>
            </w:rPr>
            <w:fldChar w:fldCharType="separate"/>
          </w:r>
          <w:r>
            <w:rPr>
              <w:sz w:val="24"/>
              <w:szCs w:val="24"/>
            </w:rPr>
            <w:t>14</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_Toc19677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4.2服务地方发展</w:t>
          </w:r>
          <w:r>
            <w:rPr>
              <w:sz w:val="24"/>
              <w:szCs w:val="24"/>
            </w:rPr>
            <w:tab/>
          </w:r>
          <w:r>
            <w:rPr>
              <w:sz w:val="24"/>
              <w:szCs w:val="24"/>
            </w:rPr>
            <w:fldChar w:fldCharType="begin"/>
          </w:r>
          <w:r>
            <w:rPr>
              <w:sz w:val="24"/>
              <w:szCs w:val="24"/>
            </w:rPr>
            <w:instrText xml:space="preserve"> PAGEREF _Toc19677 \h </w:instrText>
          </w:r>
          <w:r>
            <w:rPr>
              <w:sz w:val="24"/>
              <w:szCs w:val="24"/>
            </w:rPr>
            <w:fldChar w:fldCharType="separate"/>
          </w:r>
          <w:r>
            <w:rPr>
              <w:sz w:val="24"/>
              <w:szCs w:val="24"/>
            </w:rPr>
            <w:t>14</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_Toc9699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4.3具有本校特色服务</w:t>
          </w:r>
          <w:r>
            <w:rPr>
              <w:sz w:val="24"/>
              <w:szCs w:val="24"/>
            </w:rPr>
            <w:tab/>
          </w:r>
          <w:r>
            <w:rPr>
              <w:sz w:val="24"/>
              <w:szCs w:val="24"/>
            </w:rPr>
            <w:fldChar w:fldCharType="begin"/>
          </w:r>
          <w:r>
            <w:rPr>
              <w:sz w:val="24"/>
              <w:szCs w:val="24"/>
            </w:rPr>
            <w:instrText xml:space="preserve"> PAGEREF _Toc9699 \h </w:instrText>
          </w:r>
          <w:r>
            <w:rPr>
              <w:sz w:val="24"/>
              <w:szCs w:val="24"/>
            </w:rPr>
            <w:fldChar w:fldCharType="separate"/>
          </w:r>
          <w:r>
            <w:rPr>
              <w:sz w:val="24"/>
              <w:szCs w:val="24"/>
            </w:rPr>
            <w:t>15</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_Toc10498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4.4服务乡村振兴</w:t>
          </w:r>
          <w:r>
            <w:rPr>
              <w:sz w:val="24"/>
              <w:szCs w:val="24"/>
            </w:rPr>
            <w:tab/>
          </w:r>
          <w:r>
            <w:rPr>
              <w:sz w:val="24"/>
              <w:szCs w:val="24"/>
            </w:rPr>
            <w:fldChar w:fldCharType="begin"/>
          </w:r>
          <w:r>
            <w:rPr>
              <w:sz w:val="24"/>
              <w:szCs w:val="24"/>
            </w:rPr>
            <w:instrText xml:space="preserve"> PAGEREF _Toc10498 \h </w:instrText>
          </w:r>
          <w:r>
            <w:rPr>
              <w:sz w:val="24"/>
              <w:szCs w:val="24"/>
            </w:rPr>
            <w:fldChar w:fldCharType="separate"/>
          </w:r>
          <w:r>
            <w:rPr>
              <w:sz w:val="24"/>
              <w:szCs w:val="24"/>
            </w:rPr>
            <w:t>15</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5"/>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_Toc6915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5</w:t>
          </w:r>
          <w:r>
            <w:rPr>
              <w:rFonts w:hint="eastAsia" w:ascii="微软雅黑" w:hAnsi="微软雅黑" w:eastAsia="微软雅黑" w:cs="微软雅黑"/>
              <w:sz w:val="24"/>
              <w:szCs w:val="24"/>
              <w:shd w:val="clear" w:color="auto" w:fill="FFFFFF"/>
              <w:lang w:eastAsia="zh-CN"/>
            </w:rPr>
            <w:t>.</w:t>
          </w:r>
          <w:r>
            <w:rPr>
              <w:rFonts w:hint="eastAsia" w:ascii="微软雅黑" w:hAnsi="微软雅黑" w:eastAsia="微软雅黑" w:cs="微软雅黑"/>
              <w:sz w:val="24"/>
              <w:szCs w:val="24"/>
              <w:shd w:val="clear" w:color="auto" w:fill="FFFFFF"/>
            </w:rPr>
            <w:t>政策落实质量</w:t>
          </w:r>
          <w:r>
            <w:rPr>
              <w:sz w:val="24"/>
              <w:szCs w:val="24"/>
            </w:rPr>
            <w:tab/>
          </w:r>
          <w:r>
            <w:rPr>
              <w:sz w:val="24"/>
              <w:szCs w:val="24"/>
            </w:rPr>
            <w:fldChar w:fldCharType="begin"/>
          </w:r>
          <w:r>
            <w:rPr>
              <w:sz w:val="24"/>
              <w:szCs w:val="24"/>
            </w:rPr>
            <w:instrText xml:space="preserve"> PAGEREF _Toc6915 \h </w:instrText>
          </w:r>
          <w:r>
            <w:rPr>
              <w:sz w:val="24"/>
              <w:szCs w:val="24"/>
            </w:rPr>
            <w:fldChar w:fldCharType="separate"/>
          </w:r>
          <w:r>
            <w:rPr>
              <w:sz w:val="24"/>
              <w:szCs w:val="24"/>
            </w:rPr>
            <w:t>16</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_Toc8469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5.1国家政策措施</w:t>
          </w:r>
          <w:r>
            <w:rPr>
              <w:sz w:val="24"/>
              <w:szCs w:val="24"/>
            </w:rPr>
            <w:tab/>
          </w:r>
          <w:r>
            <w:rPr>
              <w:sz w:val="24"/>
              <w:szCs w:val="24"/>
            </w:rPr>
            <w:fldChar w:fldCharType="begin"/>
          </w:r>
          <w:r>
            <w:rPr>
              <w:sz w:val="24"/>
              <w:szCs w:val="24"/>
            </w:rPr>
            <w:instrText xml:space="preserve"> PAGEREF _Toc8469 \h </w:instrText>
          </w:r>
          <w:r>
            <w:rPr>
              <w:sz w:val="24"/>
              <w:szCs w:val="24"/>
            </w:rPr>
            <w:fldChar w:fldCharType="separate"/>
          </w:r>
          <w:r>
            <w:rPr>
              <w:sz w:val="24"/>
              <w:szCs w:val="24"/>
            </w:rPr>
            <w:t>16</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_Toc20491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5.2地方政策落实</w:t>
          </w:r>
          <w:r>
            <w:rPr>
              <w:sz w:val="24"/>
              <w:szCs w:val="24"/>
            </w:rPr>
            <w:tab/>
          </w:r>
          <w:r>
            <w:rPr>
              <w:sz w:val="24"/>
              <w:szCs w:val="24"/>
            </w:rPr>
            <w:fldChar w:fldCharType="begin"/>
          </w:r>
          <w:r>
            <w:rPr>
              <w:sz w:val="24"/>
              <w:szCs w:val="24"/>
            </w:rPr>
            <w:instrText xml:space="preserve"> PAGEREF _Toc20491 \h </w:instrText>
          </w:r>
          <w:r>
            <w:rPr>
              <w:sz w:val="24"/>
              <w:szCs w:val="24"/>
            </w:rPr>
            <w:fldChar w:fldCharType="separate"/>
          </w:r>
          <w:r>
            <w:rPr>
              <w:sz w:val="24"/>
              <w:szCs w:val="24"/>
            </w:rPr>
            <w:t>17</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_Toc16213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5.3学校治理</w:t>
          </w:r>
          <w:r>
            <w:rPr>
              <w:sz w:val="24"/>
              <w:szCs w:val="24"/>
            </w:rPr>
            <w:tab/>
          </w:r>
          <w:r>
            <w:rPr>
              <w:sz w:val="24"/>
              <w:szCs w:val="24"/>
            </w:rPr>
            <w:fldChar w:fldCharType="begin"/>
          </w:r>
          <w:r>
            <w:rPr>
              <w:sz w:val="24"/>
              <w:szCs w:val="24"/>
            </w:rPr>
            <w:instrText xml:space="preserve"> PAGEREF _Toc16213 \h </w:instrText>
          </w:r>
          <w:r>
            <w:rPr>
              <w:sz w:val="24"/>
              <w:szCs w:val="24"/>
            </w:rPr>
            <w:fldChar w:fldCharType="separate"/>
          </w:r>
          <w:r>
            <w:rPr>
              <w:sz w:val="24"/>
              <w:szCs w:val="24"/>
            </w:rPr>
            <w:t>18</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_Toc32228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5.4质量保证体系建设</w:t>
          </w:r>
          <w:r>
            <w:rPr>
              <w:sz w:val="24"/>
              <w:szCs w:val="24"/>
            </w:rPr>
            <w:tab/>
          </w:r>
          <w:r>
            <w:rPr>
              <w:sz w:val="24"/>
              <w:szCs w:val="24"/>
            </w:rPr>
            <w:fldChar w:fldCharType="begin"/>
          </w:r>
          <w:r>
            <w:rPr>
              <w:sz w:val="24"/>
              <w:szCs w:val="24"/>
            </w:rPr>
            <w:instrText xml:space="preserve"> PAGEREF _Toc32228 \h </w:instrText>
          </w:r>
          <w:r>
            <w:rPr>
              <w:sz w:val="24"/>
              <w:szCs w:val="24"/>
            </w:rPr>
            <w:fldChar w:fldCharType="separate"/>
          </w:r>
          <w:r>
            <w:rPr>
              <w:sz w:val="24"/>
              <w:szCs w:val="24"/>
            </w:rPr>
            <w:t>18</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_Toc23071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rPr>
            <w:t>5.5落实经费保障</w:t>
          </w:r>
          <w:r>
            <w:rPr>
              <w:sz w:val="24"/>
              <w:szCs w:val="24"/>
            </w:rPr>
            <w:tab/>
          </w:r>
          <w:r>
            <w:rPr>
              <w:sz w:val="24"/>
              <w:szCs w:val="24"/>
            </w:rPr>
            <w:fldChar w:fldCharType="begin"/>
          </w:r>
          <w:r>
            <w:rPr>
              <w:sz w:val="24"/>
              <w:szCs w:val="24"/>
            </w:rPr>
            <w:instrText xml:space="preserve"> PAGEREF _Toc23071 \h </w:instrText>
          </w:r>
          <w:r>
            <w:rPr>
              <w:sz w:val="24"/>
              <w:szCs w:val="24"/>
            </w:rPr>
            <w:fldChar w:fldCharType="separate"/>
          </w:r>
          <w:r>
            <w:rPr>
              <w:sz w:val="24"/>
              <w:szCs w:val="24"/>
            </w:rPr>
            <w:t>18</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5"/>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_Toc1576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lang w:val="en-US" w:eastAsia="zh-CN"/>
            </w:rPr>
            <w:t>6</w:t>
          </w:r>
          <w:r>
            <w:rPr>
              <w:rFonts w:hint="eastAsia" w:ascii="微软雅黑" w:hAnsi="微软雅黑" w:eastAsia="微软雅黑" w:cs="微软雅黑"/>
              <w:sz w:val="24"/>
              <w:szCs w:val="24"/>
              <w:shd w:val="clear" w:color="auto" w:fill="FFFFFF"/>
            </w:rPr>
            <w:t>.面临挑战和改进措施</w:t>
          </w:r>
          <w:r>
            <w:rPr>
              <w:sz w:val="24"/>
              <w:szCs w:val="24"/>
            </w:rPr>
            <w:tab/>
          </w:r>
          <w:r>
            <w:rPr>
              <w:sz w:val="24"/>
              <w:szCs w:val="24"/>
            </w:rPr>
            <w:fldChar w:fldCharType="begin"/>
          </w:r>
          <w:r>
            <w:rPr>
              <w:sz w:val="24"/>
              <w:szCs w:val="24"/>
            </w:rPr>
            <w:instrText xml:space="preserve"> PAGEREF _Toc1576 \h </w:instrText>
          </w:r>
          <w:r>
            <w:rPr>
              <w:sz w:val="24"/>
              <w:szCs w:val="24"/>
            </w:rPr>
            <w:fldChar w:fldCharType="separate"/>
          </w:r>
          <w:r>
            <w:rPr>
              <w:sz w:val="24"/>
              <w:szCs w:val="24"/>
            </w:rPr>
            <w:t>18</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rPr>
              <w:sz w:val="24"/>
              <w:szCs w:val="24"/>
            </w:rPr>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_Toc26257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lang w:val="en-US" w:eastAsia="zh-CN"/>
            </w:rPr>
            <w:t>6</w:t>
          </w:r>
          <w:r>
            <w:rPr>
              <w:rFonts w:hint="eastAsia" w:ascii="微软雅黑" w:hAnsi="微软雅黑" w:eastAsia="微软雅黑" w:cs="微软雅黑"/>
              <w:sz w:val="24"/>
              <w:szCs w:val="24"/>
              <w:shd w:val="clear" w:color="auto" w:fill="FFFFFF"/>
            </w:rPr>
            <w:t>.1面临挑战</w:t>
          </w:r>
          <w:r>
            <w:rPr>
              <w:sz w:val="24"/>
              <w:szCs w:val="24"/>
            </w:rPr>
            <w:tab/>
          </w:r>
          <w:r>
            <w:rPr>
              <w:sz w:val="24"/>
              <w:szCs w:val="24"/>
            </w:rPr>
            <w:fldChar w:fldCharType="begin"/>
          </w:r>
          <w:r>
            <w:rPr>
              <w:sz w:val="24"/>
              <w:szCs w:val="24"/>
            </w:rPr>
            <w:instrText xml:space="preserve"> PAGEREF _Toc26257 \h </w:instrText>
          </w:r>
          <w:r>
            <w:rPr>
              <w:sz w:val="24"/>
              <w:szCs w:val="24"/>
            </w:rPr>
            <w:fldChar w:fldCharType="separate"/>
          </w:r>
          <w:r>
            <w:rPr>
              <w:sz w:val="24"/>
              <w:szCs w:val="24"/>
            </w:rPr>
            <w:t>19</w:t>
          </w:r>
          <w:r>
            <w:rPr>
              <w:sz w:val="24"/>
              <w:szCs w:val="24"/>
            </w:rPr>
            <w:fldChar w:fldCharType="end"/>
          </w:r>
          <w:r>
            <w:rPr>
              <w:rFonts w:hint="eastAsia" w:ascii="方正小标宋简体" w:hAnsi="宋体" w:eastAsia="方正小标宋简体" w:cs="宋体"/>
              <w:bCs/>
              <w:color w:val="auto"/>
              <w:sz w:val="24"/>
              <w:szCs w:val="24"/>
            </w:rPr>
            <w:fldChar w:fldCharType="end"/>
          </w:r>
        </w:p>
        <w:p>
          <w:pPr>
            <w:pStyle w:val="6"/>
            <w:keepNext w:val="0"/>
            <w:keepLines w:val="0"/>
            <w:pageBreakBefore w:val="0"/>
            <w:widowControl w:val="0"/>
            <w:tabs>
              <w:tab w:val="right" w:leader="dot" w:pos="8306"/>
            </w:tabs>
            <w:kinsoku/>
            <w:wordWrap/>
            <w:overflowPunct w:val="0"/>
            <w:topLinePunct w:val="0"/>
            <w:autoSpaceDE/>
            <w:autoSpaceDN/>
            <w:bidi w:val="0"/>
            <w:adjustRightInd/>
            <w:spacing w:line="360" w:lineRule="auto"/>
            <w:textAlignment w:val="auto"/>
          </w:pPr>
          <w:r>
            <w:rPr>
              <w:rFonts w:hint="eastAsia" w:ascii="方正小标宋简体" w:hAnsi="宋体" w:eastAsia="方正小标宋简体" w:cs="宋体"/>
              <w:bCs/>
              <w:color w:val="auto"/>
              <w:sz w:val="24"/>
              <w:szCs w:val="24"/>
            </w:rPr>
            <w:fldChar w:fldCharType="begin"/>
          </w:r>
          <w:r>
            <w:rPr>
              <w:rFonts w:hint="eastAsia" w:ascii="方正小标宋简体" w:hAnsi="宋体" w:eastAsia="方正小标宋简体" w:cs="宋体"/>
              <w:bCs/>
              <w:sz w:val="24"/>
              <w:szCs w:val="24"/>
            </w:rPr>
            <w:instrText xml:space="preserve"> HYPERLINK \l _Toc25535 </w:instrText>
          </w:r>
          <w:r>
            <w:rPr>
              <w:rFonts w:hint="eastAsia" w:ascii="方正小标宋简体" w:hAnsi="宋体" w:eastAsia="方正小标宋简体" w:cs="宋体"/>
              <w:bCs/>
              <w:sz w:val="24"/>
              <w:szCs w:val="24"/>
            </w:rPr>
            <w:fldChar w:fldCharType="separate"/>
          </w:r>
          <w:r>
            <w:rPr>
              <w:rFonts w:hint="eastAsia" w:ascii="微软雅黑" w:hAnsi="微软雅黑" w:eastAsia="微软雅黑" w:cs="微软雅黑"/>
              <w:sz w:val="24"/>
              <w:szCs w:val="24"/>
              <w:shd w:val="clear" w:color="auto" w:fill="FFFFFF"/>
              <w:lang w:val="en-US" w:eastAsia="zh-CN"/>
            </w:rPr>
            <w:t>6</w:t>
          </w:r>
          <w:r>
            <w:rPr>
              <w:rFonts w:hint="eastAsia" w:ascii="微软雅黑" w:hAnsi="微软雅黑" w:eastAsia="微软雅黑" w:cs="微软雅黑"/>
              <w:sz w:val="24"/>
              <w:szCs w:val="24"/>
              <w:shd w:val="clear" w:color="auto" w:fill="FFFFFF"/>
            </w:rPr>
            <w:t>.2改进措施</w:t>
          </w:r>
          <w:r>
            <w:rPr>
              <w:sz w:val="24"/>
              <w:szCs w:val="24"/>
            </w:rPr>
            <w:tab/>
          </w:r>
          <w:r>
            <w:rPr>
              <w:sz w:val="24"/>
              <w:szCs w:val="24"/>
            </w:rPr>
            <w:fldChar w:fldCharType="begin"/>
          </w:r>
          <w:r>
            <w:rPr>
              <w:sz w:val="24"/>
              <w:szCs w:val="24"/>
            </w:rPr>
            <w:instrText xml:space="preserve"> PAGEREF _Toc25535 \h </w:instrText>
          </w:r>
          <w:r>
            <w:rPr>
              <w:sz w:val="24"/>
              <w:szCs w:val="24"/>
            </w:rPr>
            <w:fldChar w:fldCharType="separate"/>
          </w:r>
          <w:r>
            <w:rPr>
              <w:sz w:val="24"/>
              <w:szCs w:val="24"/>
            </w:rPr>
            <w:t>19</w:t>
          </w:r>
          <w:r>
            <w:rPr>
              <w:sz w:val="24"/>
              <w:szCs w:val="24"/>
            </w:rPr>
            <w:fldChar w:fldCharType="end"/>
          </w:r>
          <w:r>
            <w:rPr>
              <w:rFonts w:hint="eastAsia" w:ascii="方正小标宋简体" w:hAnsi="宋体" w:eastAsia="方正小标宋简体" w:cs="宋体"/>
              <w:bCs/>
              <w:color w:val="auto"/>
              <w:sz w:val="24"/>
              <w:szCs w:val="24"/>
            </w:rPr>
            <w:fldChar w:fldCharType="end"/>
          </w:r>
        </w:p>
        <w:p>
          <w:pPr>
            <w:keepNext w:val="0"/>
            <w:keepLines w:val="0"/>
            <w:pageBreakBefore w:val="0"/>
            <w:widowControl w:val="0"/>
            <w:kinsoku/>
            <w:wordWrap/>
            <w:overflowPunct w:val="0"/>
            <w:topLinePunct w:val="0"/>
            <w:autoSpaceDE/>
            <w:autoSpaceDN/>
            <w:bidi w:val="0"/>
            <w:adjustRightInd/>
            <w:snapToGrid w:val="0"/>
            <w:spacing w:line="360" w:lineRule="auto"/>
            <w:jc w:val="center"/>
            <w:textAlignment w:val="auto"/>
            <w:outlineLvl w:val="0"/>
            <w:rPr>
              <w:rFonts w:hint="eastAsia" w:ascii="方正小标宋简体" w:hAnsi="宋体" w:eastAsia="方正小标宋简体" w:cs="宋体"/>
              <w:bCs/>
              <w:color w:val="auto"/>
              <w:sz w:val="36"/>
              <w:szCs w:val="36"/>
            </w:rPr>
          </w:pPr>
          <w:r>
            <w:rPr>
              <w:rFonts w:hint="eastAsia" w:ascii="方正小标宋简体" w:hAnsi="宋体" w:eastAsia="方正小标宋简体" w:cs="宋体"/>
              <w:bCs/>
              <w:color w:val="auto"/>
              <w:szCs w:val="36"/>
            </w:rPr>
            <w:fldChar w:fldCharType="end"/>
          </w:r>
        </w:p>
      </w:sdtContent>
    </w:sdt>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p>
    <w:p>
      <w:pPr>
        <w:keepNext w:val="0"/>
        <w:keepLines w:val="0"/>
        <w:pageBreakBefore w:val="0"/>
        <w:kinsoku/>
        <w:wordWrap/>
        <w:overflowPunct w:val="0"/>
        <w:topLinePunct w:val="0"/>
        <w:autoSpaceDE/>
        <w:autoSpaceDN/>
        <w:bidi w:val="0"/>
        <w:adjustRightInd/>
        <w:snapToGrid w:val="0"/>
        <w:spacing w:line="618" w:lineRule="exact"/>
        <w:jc w:val="center"/>
        <w:textAlignment w:val="auto"/>
        <w:rPr>
          <w:rFonts w:hint="eastAsia" w:ascii="方正小标宋简体" w:hAnsi="宋体" w:eastAsia="方正小标宋简体" w:cs="宋体"/>
          <w:bCs/>
          <w:color w:val="auto"/>
          <w:sz w:val="36"/>
          <w:szCs w:val="36"/>
        </w:rPr>
      </w:pPr>
      <w:r>
        <w:rPr>
          <w:rFonts w:hint="eastAsia" w:ascii="方正小标宋简体" w:hAnsi="宋体" w:eastAsia="方正小标宋简体" w:cs="宋体"/>
          <w:bCs/>
          <w:color w:val="auto"/>
          <w:sz w:val="36"/>
          <w:szCs w:val="36"/>
        </w:rPr>
        <w:t>渭南市红星中等职业学校2022年度教育质量报告</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0"/>
        <w:rPr>
          <w:rFonts w:ascii="微软雅黑" w:hAnsi="微软雅黑" w:eastAsia="微软雅黑" w:cs="微软雅黑"/>
          <w:color w:val="auto"/>
        </w:rPr>
      </w:pPr>
      <w:bookmarkStart w:id="0" w:name="_Toc5323"/>
      <w:r>
        <w:rPr>
          <w:rFonts w:hint="eastAsia" w:ascii="微软雅黑" w:hAnsi="微软雅黑" w:eastAsia="微软雅黑" w:cs="微软雅黑"/>
          <w:color w:val="auto"/>
          <w:shd w:val="clear" w:color="auto" w:fill="FFFFFF"/>
        </w:rPr>
        <w:t>1.学校情况</w:t>
      </w:r>
      <w:bookmarkEnd w:id="0"/>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1" w:name="_Toc18851"/>
      <w:r>
        <w:rPr>
          <w:rFonts w:hint="eastAsia" w:ascii="微软雅黑" w:hAnsi="微软雅黑" w:eastAsia="微软雅黑" w:cs="微软雅黑"/>
          <w:color w:val="auto"/>
          <w:shd w:val="clear" w:color="auto" w:fill="FFFFFF"/>
        </w:rPr>
        <w:t>1.1学校概况。</w:t>
      </w:r>
      <w:bookmarkEnd w:id="1"/>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9"/>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渭南市红星中等职业学校成立于1999年1月29日</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是渭南市教育局审批、临渭区教育局主管的一所中等职业学校。学校地处宣化路中段，占地面积10200平方米，建筑面积8900平方米，资产总值600万元，教室、宿舍、餐厅、文体娱乐等配套设施齐全，能够满足教学需要。学校多次获得市、区先进单位、先进党支部、和谐校园等多项荣誉。</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2" w:name="_Toc29489"/>
      <w:r>
        <w:rPr>
          <w:rFonts w:hint="eastAsia" w:ascii="微软雅黑" w:hAnsi="微软雅黑" w:eastAsia="微软雅黑" w:cs="微软雅黑"/>
          <w:color w:val="auto"/>
          <w:shd w:val="clear" w:color="auto" w:fill="FFFFFF"/>
        </w:rPr>
        <w:t>1.2学生情况。</w:t>
      </w:r>
      <w:bookmarkEnd w:id="2"/>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9"/>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现开设计算机应用专业，在校生199人。</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3" w:name="_Toc25590"/>
      <w:r>
        <w:rPr>
          <w:rFonts w:hint="eastAsia" w:ascii="微软雅黑" w:hAnsi="微软雅黑" w:eastAsia="微软雅黑" w:cs="微软雅黑"/>
          <w:color w:val="auto"/>
          <w:shd w:val="clear" w:color="auto" w:fill="FFFFFF"/>
        </w:rPr>
        <w:t>1.3教师情况。</w:t>
      </w:r>
      <w:bookmarkEnd w:id="3"/>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9"/>
        <w:rPr>
          <w:rFonts w:hint="eastAsia" w:ascii="微软雅黑" w:hAnsi="微软雅黑" w:eastAsia="微软雅黑" w:cs="微软雅黑"/>
          <w:color w:val="auto"/>
          <w:sz w:val="18"/>
          <w:szCs w:val="18"/>
          <w:shd w:val="clear" w:color="auto" w:fill="FFFFFF"/>
        </w:rPr>
      </w:pPr>
      <w:r>
        <w:rPr>
          <w:rFonts w:hint="eastAsia" w:ascii="微软雅黑" w:hAnsi="微软雅黑" w:eastAsia="微软雅黑" w:cs="微软雅黑"/>
          <w:color w:val="auto"/>
          <w:shd w:val="clear" w:color="auto" w:fill="FFFFFF"/>
        </w:rPr>
        <w:t>学校现有教职工36人，专任教师</w:t>
      </w:r>
      <w:r>
        <w:rPr>
          <w:rFonts w:hint="eastAsia" w:ascii="微软雅黑" w:hAnsi="微软雅黑" w:eastAsia="微软雅黑" w:cs="微软雅黑"/>
          <w:color w:val="auto"/>
          <w:shd w:val="clear" w:color="auto" w:fill="FFFFFF"/>
          <w:lang w:val="en-US" w:eastAsia="zh-CN"/>
        </w:rPr>
        <w:t>20</w:t>
      </w:r>
      <w:r>
        <w:rPr>
          <w:rFonts w:hint="eastAsia" w:ascii="微软雅黑" w:hAnsi="微软雅黑" w:eastAsia="微软雅黑" w:cs="微软雅黑"/>
          <w:color w:val="auto"/>
          <w:shd w:val="clear" w:color="auto" w:fill="FFFFFF"/>
        </w:rPr>
        <w:t>人，兼职教师</w:t>
      </w:r>
      <w:r>
        <w:rPr>
          <w:rFonts w:hint="eastAsia" w:ascii="微软雅黑" w:hAnsi="微软雅黑" w:eastAsia="微软雅黑" w:cs="微软雅黑"/>
          <w:color w:val="auto"/>
          <w:shd w:val="clear" w:color="auto" w:fill="FFFFFF"/>
          <w:lang w:val="en-US" w:eastAsia="zh-CN"/>
        </w:rPr>
        <w:t>15</w:t>
      </w:r>
      <w:r>
        <w:rPr>
          <w:rFonts w:hint="eastAsia" w:ascii="微软雅黑" w:hAnsi="微软雅黑" w:eastAsia="微软雅黑" w:cs="微软雅黑"/>
          <w:color w:val="auto"/>
          <w:shd w:val="clear" w:color="auto" w:fill="FFFFFF"/>
        </w:rPr>
        <w:t>人，生师比为</w:t>
      </w:r>
      <w:r>
        <w:rPr>
          <w:rFonts w:hint="eastAsia" w:ascii="微软雅黑" w:hAnsi="微软雅黑" w:eastAsia="微软雅黑" w:cs="微软雅黑"/>
          <w:color w:val="auto"/>
          <w:shd w:val="clear" w:color="auto" w:fill="FFFFFF"/>
          <w:lang w:val="en-US" w:eastAsia="zh-CN"/>
        </w:rPr>
        <w:t>9.95</w:t>
      </w:r>
      <w:r>
        <w:rPr>
          <w:rFonts w:hint="eastAsia" w:ascii="微软雅黑" w:hAnsi="微软雅黑" w:eastAsia="微软雅黑" w:cs="微软雅黑"/>
          <w:color w:val="auto"/>
          <w:shd w:val="clear" w:color="auto" w:fill="FFFFFF"/>
        </w:rPr>
        <w:t>:1。专任教师本科以上学历</w:t>
      </w:r>
      <w:r>
        <w:rPr>
          <w:rFonts w:hint="eastAsia" w:ascii="微软雅黑" w:hAnsi="微软雅黑" w:eastAsia="微软雅黑" w:cs="微软雅黑"/>
          <w:color w:val="auto"/>
          <w:shd w:val="clear" w:color="auto" w:fill="FFFFFF"/>
          <w:lang w:val="en-US" w:eastAsia="zh-CN"/>
        </w:rPr>
        <w:t>19</w:t>
      </w:r>
      <w:r>
        <w:rPr>
          <w:rFonts w:hint="eastAsia" w:ascii="微软雅黑" w:hAnsi="微软雅黑" w:eastAsia="微软雅黑" w:cs="微软雅黑"/>
          <w:color w:val="auto"/>
          <w:shd w:val="clear" w:color="auto" w:fill="FFFFFF"/>
        </w:rPr>
        <w:t>人，占专任教师比例为</w:t>
      </w:r>
      <w:r>
        <w:rPr>
          <w:rFonts w:hint="eastAsia" w:ascii="微软雅黑" w:hAnsi="微软雅黑" w:eastAsia="微软雅黑" w:cs="微软雅黑"/>
          <w:color w:val="auto"/>
          <w:shd w:val="clear" w:color="auto" w:fill="FFFFFF"/>
          <w:lang w:val="en-US" w:eastAsia="zh-CN"/>
        </w:rPr>
        <w:t>95</w:t>
      </w:r>
      <w:r>
        <w:rPr>
          <w:rFonts w:hint="eastAsia" w:ascii="微软雅黑" w:hAnsi="微软雅黑" w:eastAsia="微软雅黑" w:cs="微软雅黑"/>
          <w:color w:val="auto"/>
          <w:shd w:val="clear" w:color="auto" w:fill="FFFFFF"/>
        </w:rPr>
        <w:t>%，高级职称</w:t>
      </w:r>
      <w:r>
        <w:rPr>
          <w:rFonts w:hint="eastAsia" w:ascii="微软雅黑" w:hAnsi="微软雅黑" w:eastAsia="微软雅黑" w:cs="微软雅黑"/>
          <w:color w:val="auto"/>
          <w:shd w:val="clear" w:color="auto" w:fill="FFFFFF"/>
          <w:lang w:val="en-US" w:eastAsia="zh-CN"/>
        </w:rPr>
        <w:t>9</w:t>
      </w:r>
      <w:r>
        <w:rPr>
          <w:rFonts w:hint="eastAsia" w:ascii="微软雅黑" w:hAnsi="微软雅黑" w:eastAsia="微软雅黑" w:cs="微软雅黑"/>
          <w:color w:val="auto"/>
          <w:shd w:val="clear" w:color="auto" w:fill="FFFFFF"/>
        </w:rPr>
        <w:t>人，占专任教师比例为</w:t>
      </w:r>
      <w:r>
        <w:rPr>
          <w:rFonts w:hint="eastAsia" w:ascii="微软雅黑" w:hAnsi="微软雅黑" w:eastAsia="微软雅黑" w:cs="微软雅黑"/>
          <w:color w:val="auto"/>
          <w:shd w:val="clear" w:color="auto" w:fill="FFFFFF"/>
          <w:lang w:val="en-US" w:eastAsia="zh-CN"/>
        </w:rPr>
        <w:t>45</w:t>
      </w:r>
      <w:r>
        <w:rPr>
          <w:rFonts w:hint="eastAsia" w:ascii="微软雅黑" w:hAnsi="微软雅黑" w:eastAsia="微软雅黑" w:cs="微软雅黑"/>
          <w:color w:val="auto"/>
          <w:shd w:val="clear" w:color="auto" w:fill="FFFFFF"/>
        </w:rPr>
        <w:t>%，“双师型”教师</w:t>
      </w:r>
      <w:r>
        <w:rPr>
          <w:rFonts w:hint="eastAsia" w:ascii="微软雅黑" w:hAnsi="微软雅黑" w:eastAsia="微软雅黑" w:cs="微软雅黑"/>
          <w:color w:val="auto"/>
          <w:shd w:val="clear" w:color="auto" w:fill="FFFFFF"/>
          <w:lang w:val="en-US" w:eastAsia="zh-CN"/>
        </w:rPr>
        <w:t>3</w:t>
      </w:r>
      <w:r>
        <w:rPr>
          <w:rFonts w:hint="eastAsia" w:ascii="微软雅黑" w:hAnsi="微软雅黑" w:eastAsia="微软雅黑" w:cs="微软雅黑"/>
          <w:color w:val="auto"/>
          <w:shd w:val="clear" w:color="auto" w:fill="FFFFFF"/>
        </w:rPr>
        <w:t>人，占专任教师比例为</w:t>
      </w:r>
      <w:r>
        <w:rPr>
          <w:rFonts w:hint="eastAsia" w:ascii="微软雅黑" w:hAnsi="微软雅黑" w:eastAsia="微软雅黑" w:cs="微软雅黑"/>
          <w:color w:val="auto"/>
          <w:shd w:val="clear" w:color="auto" w:fill="FFFFFF"/>
          <w:lang w:val="en-US" w:eastAsia="zh-CN"/>
        </w:rPr>
        <w:t>15</w:t>
      </w:r>
      <w:r>
        <w:rPr>
          <w:rFonts w:hint="eastAsia" w:ascii="微软雅黑" w:hAnsi="微软雅黑" w:eastAsia="微软雅黑" w:cs="微软雅黑"/>
          <w:color w:val="auto"/>
          <w:shd w:val="clear" w:color="auto" w:fill="FFFFFF"/>
        </w:rPr>
        <w:t>%。</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9"/>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lang w:eastAsia="zh-CN"/>
        </w:rPr>
        <w:drawing>
          <wp:inline distT="0" distB="0" distL="114300" distR="114300">
            <wp:extent cx="4760595" cy="2958465"/>
            <wp:effectExtent l="4445" t="4445" r="16510" b="8890"/>
            <wp:docPr id="1" name="图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20" w:firstLineChars="200"/>
        <w:jc w:val="center"/>
        <w:textAlignment w:val="auto"/>
        <w:outlineLvl w:val="9"/>
        <w:rPr>
          <w:rFonts w:hint="default" w:ascii="微软雅黑" w:hAnsi="微软雅黑" w:eastAsia="微软雅黑" w:cs="微软雅黑"/>
          <w:color w:val="auto"/>
          <w:sz w:val="21"/>
          <w:szCs w:val="21"/>
          <w:shd w:val="clear" w:color="auto" w:fill="FFFFFF"/>
          <w:lang w:val="en-US" w:eastAsia="zh-CN"/>
        </w:rPr>
      </w:pPr>
      <w:r>
        <w:rPr>
          <w:rFonts w:hint="eastAsia" w:ascii="微软雅黑" w:hAnsi="微软雅黑" w:eastAsia="微软雅黑" w:cs="微软雅黑"/>
          <w:color w:val="auto"/>
          <w:sz w:val="21"/>
          <w:szCs w:val="21"/>
          <w:shd w:val="clear" w:color="auto" w:fill="FFFFFF"/>
          <w:lang w:eastAsia="zh-CN"/>
        </w:rPr>
        <w:t>图</w:t>
      </w:r>
      <w:r>
        <w:rPr>
          <w:rFonts w:hint="eastAsia" w:ascii="微软雅黑" w:hAnsi="微软雅黑" w:eastAsia="微软雅黑" w:cs="微软雅黑"/>
          <w:color w:val="auto"/>
          <w:sz w:val="21"/>
          <w:szCs w:val="21"/>
          <w:shd w:val="clear" w:color="auto" w:fill="FFFFFF"/>
          <w:lang w:val="en-US" w:eastAsia="zh-CN"/>
        </w:rPr>
        <w:t>1.1 专任教师结构图</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4" w:name="_Toc14412"/>
      <w:r>
        <w:rPr>
          <w:rFonts w:hint="eastAsia" w:ascii="微软雅黑" w:hAnsi="微软雅黑" w:eastAsia="微软雅黑" w:cs="微软雅黑"/>
          <w:color w:val="auto"/>
          <w:shd w:val="clear" w:color="auto" w:fill="FFFFFF"/>
        </w:rPr>
        <w:t>1.4设施设备。</w:t>
      </w:r>
      <w:bookmarkEnd w:id="4"/>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9"/>
        <w:rPr>
          <w:rFonts w:hint="eastAsia" w:ascii="微软雅黑" w:hAnsi="微软雅黑" w:eastAsia="微软雅黑" w:cs="微软雅黑"/>
          <w:color w:val="auto"/>
          <w:lang w:val="en-US" w:eastAsia="zh-CN"/>
        </w:rPr>
      </w:pPr>
      <w:r>
        <w:rPr>
          <w:rFonts w:hint="eastAsia" w:ascii="微软雅黑" w:hAnsi="微软雅黑" w:eastAsia="微软雅黑" w:cs="微软雅黑"/>
          <w:color w:val="auto"/>
          <w:shd w:val="clear" w:color="auto" w:fill="FFFFFF"/>
        </w:rPr>
        <w:t>学校生均教学仪器设备</w:t>
      </w:r>
      <w:r>
        <w:rPr>
          <w:rFonts w:hint="eastAsia" w:ascii="微软雅黑" w:hAnsi="微软雅黑" w:eastAsia="微软雅黑" w:cs="微软雅黑"/>
          <w:color w:val="auto"/>
          <w:shd w:val="clear" w:color="auto" w:fill="FFFFFF"/>
          <w:lang w:val="en-US" w:eastAsia="zh-CN"/>
        </w:rPr>
        <w:t>23255.81</w:t>
      </w:r>
      <w:r>
        <w:rPr>
          <w:rFonts w:hint="eastAsia" w:ascii="微软雅黑" w:hAnsi="微软雅黑" w:eastAsia="微软雅黑" w:cs="微软雅黑"/>
          <w:color w:val="auto"/>
          <w:shd w:val="clear" w:color="auto" w:fill="FFFFFF"/>
        </w:rPr>
        <w:t>元；生均实习工位数1.3台；生均纸质图书1</w:t>
      </w:r>
      <w:r>
        <w:rPr>
          <w:rFonts w:hint="eastAsia" w:ascii="微软雅黑" w:hAnsi="微软雅黑" w:eastAsia="微软雅黑" w:cs="微软雅黑"/>
          <w:color w:val="auto"/>
          <w:shd w:val="clear" w:color="auto" w:fill="FFFFFF"/>
          <w:lang w:val="en-US" w:eastAsia="zh-CN"/>
        </w:rPr>
        <w:t>39</w:t>
      </w:r>
      <w:r>
        <w:rPr>
          <w:rFonts w:hint="eastAsia" w:ascii="微软雅黑" w:hAnsi="微软雅黑" w:eastAsia="微软雅黑" w:cs="微软雅黑"/>
          <w:color w:val="auto"/>
          <w:shd w:val="clear" w:color="auto" w:fill="FFFFFF"/>
        </w:rPr>
        <w:t>册。</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0"/>
        <w:rPr>
          <w:rFonts w:ascii="微软雅黑" w:hAnsi="微软雅黑" w:eastAsia="微软雅黑" w:cs="微软雅黑"/>
          <w:color w:val="auto"/>
        </w:rPr>
      </w:pPr>
      <w:bookmarkStart w:id="5" w:name="_Toc14992"/>
      <w:r>
        <w:rPr>
          <w:rFonts w:hint="eastAsia" w:ascii="微软雅黑" w:hAnsi="微软雅黑" w:eastAsia="微软雅黑" w:cs="微软雅黑"/>
          <w:color w:val="auto"/>
          <w:shd w:val="clear" w:color="auto" w:fill="FFFFFF"/>
        </w:rPr>
        <w:t>2.学生发展质量</w:t>
      </w:r>
      <w:bookmarkEnd w:id="5"/>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6" w:name="_Toc7262"/>
      <w:r>
        <w:rPr>
          <w:rFonts w:hint="eastAsia" w:ascii="微软雅黑" w:hAnsi="微软雅黑" w:eastAsia="微软雅黑" w:cs="微软雅黑"/>
          <w:color w:val="auto"/>
          <w:shd w:val="clear" w:color="auto" w:fill="FFFFFF"/>
        </w:rPr>
        <w:t>2.1党建引领</w:t>
      </w:r>
      <w:r>
        <w:rPr>
          <w:rFonts w:hint="eastAsia" w:ascii="微软雅黑" w:hAnsi="微软雅黑" w:eastAsia="微软雅黑" w:cs="微软雅黑"/>
          <w:color w:val="auto"/>
          <w:shd w:val="clear" w:color="auto" w:fill="FFFFFF"/>
          <w:lang w:eastAsia="zh-CN"/>
        </w:rPr>
        <w:t>。</w:t>
      </w:r>
      <w:bookmarkEnd w:id="6"/>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积极贯彻落实新《职业教育法》，强化学校的党支部政治功能，保证其在学校重大事项决策、监督、执行各环节有效发挥作用。</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学校现有党员7人。学校党支部严格按照临渭区教育局党工委下发的每月活动任务清单要求，扎实认真开展主题日党建活动、学习党章党规、系列讲话。积极开展学习研讨、分享交流、专题党课、知识测试、专题警示教育、树标杆、服务群众、参观红色教育基地等主题活动，丰富了师生教育活动内容，调动了党员的积极性，增强了党员的宗旨意识和服务意识，营造良好氛围，传递了正能量，时刻保持校党支部的先进性</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提升了党支部在学校各项工作引领作用。</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lang w:eastAsia="zh-CN"/>
        </w:rPr>
        <w:drawing>
          <wp:inline distT="0" distB="0" distL="114300" distR="114300">
            <wp:extent cx="4938395" cy="3325495"/>
            <wp:effectExtent l="0" t="0" r="14605" b="8255"/>
            <wp:docPr id="2" name="图片 2" descr="aa486859d166375494fe23ee7358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a486859d166375494fe23ee7358517"/>
                    <pic:cNvPicPr>
                      <a:picLocks noChangeAspect="1"/>
                    </pic:cNvPicPr>
                  </pic:nvPicPr>
                  <pic:blipFill>
                    <a:blip r:embed="rId5"/>
                    <a:stretch>
                      <a:fillRect/>
                    </a:stretch>
                  </pic:blipFill>
                  <pic:spPr>
                    <a:xfrm>
                      <a:off x="0" y="0"/>
                      <a:ext cx="4938395" cy="3325495"/>
                    </a:xfrm>
                    <a:prstGeom prst="rect">
                      <a:avLst/>
                    </a:prstGeom>
                  </pic:spPr>
                </pic:pic>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微软雅黑" w:hAnsi="微软雅黑" w:eastAsia="微软雅黑" w:cs="微软雅黑"/>
          <w:color w:val="auto"/>
          <w:sz w:val="21"/>
          <w:szCs w:val="21"/>
          <w:shd w:val="clear" w:color="auto" w:fill="FFFFFF"/>
          <w:lang w:val="en-US" w:eastAsia="zh-CN"/>
        </w:rPr>
      </w:pPr>
      <w:r>
        <w:rPr>
          <w:rFonts w:hint="eastAsia" w:ascii="微软雅黑" w:hAnsi="微软雅黑" w:eastAsia="微软雅黑" w:cs="微软雅黑"/>
          <w:color w:val="auto"/>
          <w:sz w:val="21"/>
          <w:szCs w:val="21"/>
          <w:shd w:val="clear" w:color="auto" w:fill="FFFFFF"/>
          <w:lang w:val="en-US" w:eastAsia="zh-CN"/>
        </w:rPr>
        <w:t>图1.2 党员开展集中活动图片</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default" w:ascii="微软雅黑" w:hAnsi="微软雅黑" w:eastAsia="微软雅黑" w:cs="微软雅黑"/>
          <w:color w:val="auto"/>
          <w:sz w:val="21"/>
          <w:szCs w:val="21"/>
          <w:shd w:val="clear" w:color="auto" w:fill="FFFFFF"/>
          <w:lang w:val="en-US" w:eastAsia="zh-CN"/>
        </w:rPr>
      </w:pPr>
      <w:r>
        <w:rPr>
          <w:rFonts w:hint="default" w:ascii="微软雅黑" w:hAnsi="微软雅黑" w:eastAsia="微软雅黑" w:cs="微软雅黑"/>
          <w:color w:val="auto"/>
          <w:sz w:val="21"/>
          <w:szCs w:val="21"/>
          <w:shd w:val="clear" w:color="auto" w:fill="FFFFFF"/>
          <w:lang w:val="en-US" w:eastAsia="zh-CN"/>
        </w:rPr>
        <w:drawing>
          <wp:inline distT="0" distB="0" distL="114300" distR="114300">
            <wp:extent cx="4939030" cy="3672840"/>
            <wp:effectExtent l="0" t="0" r="13970" b="3810"/>
            <wp:docPr id="3" name="图片 3" descr="b68e0864aff7db9131fd780470d8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b68e0864aff7db9131fd780470d8784"/>
                    <pic:cNvPicPr>
                      <a:picLocks noChangeAspect="1"/>
                    </pic:cNvPicPr>
                  </pic:nvPicPr>
                  <pic:blipFill>
                    <a:blip r:embed="rId6"/>
                    <a:stretch>
                      <a:fillRect/>
                    </a:stretch>
                  </pic:blipFill>
                  <pic:spPr>
                    <a:xfrm>
                      <a:off x="0" y="0"/>
                      <a:ext cx="4939030" cy="3672840"/>
                    </a:xfrm>
                    <a:prstGeom prst="rect">
                      <a:avLst/>
                    </a:prstGeom>
                  </pic:spPr>
                </pic:pic>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default" w:ascii="微软雅黑" w:hAnsi="微软雅黑" w:eastAsia="微软雅黑" w:cs="微软雅黑"/>
          <w:color w:val="auto"/>
          <w:sz w:val="21"/>
          <w:szCs w:val="21"/>
          <w:shd w:val="clear" w:color="auto" w:fill="FFFFFF"/>
          <w:lang w:val="en-US" w:eastAsia="zh-CN"/>
        </w:rPr>
      </w:pPr>
      <w:r>
        <w:rPr>
          <w:rFonts w:hint="eastAsia" w:ascii="微软雅黑" w:hAnsi="微软雅黑" w:eastAsia="微软雅黑" w:cs="微软雅黑"/>
          <w:color w:val="auto"/>
          <w:sz w:val="21"/>
          <w:szCs w:val="21"/>
          <w:shd w:val="clear" w:color="auto" w:fill="FFFFFF"/>
          <w:lang w:val="en-US" w:eastAsia="zh-CN"/>
        </w:rPr>
        <w:t>图1.3 党员参加社区红袖活动</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新时代的教育工作者肩负着“为党育人、为国育才”的时代使命，担负着培养德智体美劳全面发展的社会主义建设者和接班人的育人责任。充分发挥校党支部在学校重大事项决策、监督、执行各环节有效发挥作用，紧密围绕“立德树人”的根本任务，赓续党的精神血脉，践行为党育人使命，引导师生党员不断增强“四个意识”、坚定“四个自信”、做到“两个维护”；引导学生树立正确的理想信念，自觉把爱国情、强国志、报国行融入为实现中华民族伟大复兴的奋发学习中去。</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7" w:name="_Toc18899"/>
      <w:r>
        <w:rPr>
          <w:rFonts w:hint="eastAsia" w:ascii="微软雅黑" w:hAnsi="微软雅黑" w:eastAsia="微软雅黑" w:cs="微软雅黑"/>
          <w:color w:val="auto"/>
          <w:shd w:val="clear" w:color="auto" w:fill="FFFFFF"/>
        </w:rPr>
        <w:t>2.2立德树人</w:t>
      </w:r>
      <w:r>
        <w:rPr>
          <w:rFonts w:hint="eastAsia" w:ascii="微软雅黑" w:hAnsi="微软雅黑" w:eastAsia="微软雅黑" w:cs="微软雅黑"/>
          <w:color w:val="auto"/>
          <w:shd w:val="clear" w:color="auto" w:fill="FFFFFF"/>
          <w:lang w:eastAsia="zh-CN"/>
        </w:rPr>
        <w:t>。</w:t>
      </w:r>
      <w:bookmarkEnd w:id="7"/>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教育的根本任务是立德树人，学校以《中等职业学校德育大纲》为指导，以践行《中等职业学校学生</w:t>
      </w:r>
      <w:r>
        <w:rPr>
          <w:rFonts w:hint="eastAsia" w:ascii="微软雅黑" w:hAnsi="微软雅黑" w:eastAsia="微软雅黑" w:cs="微软雅黑"/>
          <w:color w:val="auto"/>
          <w:shd w:val="clear" w:color="auto" w:fill="FFFFFF"/>
          <w:lang w:eastAsia="zh-CN"/>
        </w:rPr>
        <w:t>守则</w:t>
      </w:r>
      <w:r>
        <w:rPr>
          <w:rFonts w:hint="eastAsia" w:ascii="微软雅黑" w:hAnsi="微软雅黑" w:eastAsia="微软雅黑" w:cs="微软雅黑"/>
          <w:color w:val="auto"/>
          <w:shd w:val="clear" w:color="auto" w:fill="FFFFFF"/>
        </w:rPr>
        <w:t>》为核心，以日常行为规范教育为突破口，以德育大讲堂为载体，以育人为本、德育为先为导向，坚持“德育为首”和“依法治校”相结合，按规定开足开齐并上好德育课，扎实开展各项德育教育活动，以取得实效为德育工作的出发点和归宿点。</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重视爱国教育活动。坚持每周一开展全校升国旗活动，组织学生、教师进行国旗下演讲，进一步激发学生的爱国主义、集体主义热情。另外，定期组织学生观看各类专题教育片、红色电影，使学生了解中国革命，了解革命先烈为祖国献身的革命故事，学习先烈大无畏精神，学习先进模范人物。</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lang w:eastAsia="zh-CN"/>
        </w:rPr>
        <w:drawing>
          <wp:inline distT="0" distB="0" distL="114300" distR="114300">
            <wp:extent cx="4939030" cy="3703320"/>
            <wp:effectExtent l="0" t="0" r="13970" b="11430"/>
            <wp:docPr id="4" name="图片 4" descr="ae10eac069162ccc5b81c11d4cd3b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ae10eac069162ccc5b81c11d4cd3b24"/>
                    <pic:cNvPicPr>
                      <a:picLocks noChangeAspect="1"/>
                    </pic:cNvPicPr>
                  </pic:nvPicPr>
                  <pic:blipFill>
                    <a:blip r:embed="rId7"/>
                    <a:stretch>
                      <a:fillRect/>
                    </a:stretch>
                  </pic:blipFill>
                  <pic:spPr>
                    <a:xfrm>
                      <a:off x="0" y="0"/>
                      <a:ext cx="4939030" cy="3703320"/>
                    </a:xfrm>
                    <a:prstGeom prst="rect">
                      <a:avLst/>
                    </a:prstGeom>
                  </pic:spPr>
                </pic:pic>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微软雅黑" w:hAnsi="微软雅黑" w:eastAsia="微软雅黑" w:cs="微软雅黑"/>
          <w:color w:val="auto"/>
          <w:sz w:val="21"/>
          <w:szCs w:val="21"/>
          <w:shd w:val="clear" w:color="auto" w:fill="FFFFFF"/>
          <w:lang w:val="en-US" w:eastAsia="zh-CN"/>
        </w:rPr>
      </w:pPr>
      <w:r>
        <w:rPr>
          <w:rFonts w:hint="eastAsia" w:ascii="微软雅黑" w:hAnsi="微软雅黑" w:eastAsia="微软雅黑" w:cs="微软雅黑"/>
          <w:color w:val="auto"/>
          <w:sz w:val="21"/>
          <w:szCs w:val="21"/>
          <w:shd w:val="clear" w:color="auto" w:fill="FFFFFF"/>
          <w:lang w:eastAsia="zh-CN"/>
        </w:rPr>
        <w:t>图</w:t>
      </w:r>
      <w:r>
        <w:rPr>
          <w:rFonts w:hint="eastAsia" w:ascii="微软雅黑" w:hAnsi="微软雅黑" w:eastAsia="微软雅黑" w:cs="微软雅黑"/>
          <w:color w:val="auto"/>
          <w:sz w:val="21"/>
          <w:szCs w:val="21"/>
          <w:shd w:val="clear" w:color="auto" w:fill="FFFFFF"/>
          <w:lang w:val="en-US" w:eastAsia="zh-CN"/>
        </w:rPr>
        <w:t>1.4 学生国旗下宣誓</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jc w:val="both"/>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rPr>
        <w:t>校园风采活动。为推动</w:t>
      </w: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德育教育实践活动的开展，不断提高学生思想道德素质和综合素质，促进学生全面发展。2022年</w:t>
      </w: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组织趣味运动会、篮球比赛、阳光体育运动、中秋联欢晚会、班级桌舞等活动，丰富了师生课余生活，延伸了课堂内容，巩固了师生情感，激发了学生实践兴趣。通过丰富多彩的德育活动，激发学生爱国心、荣辱感、奋发有为，培养学生养成乐于助人、勇于助人的优良品质，积极的投身到建设祖国的行列中来。</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lang w:eastAsia="zh-CN"/>
        </w:rPr>
        <w:drawing>
          <wp:inline distT="0" distB="0" distL="114300" distR="114300">
            <wp:extent cx="4939030" cy="3550920"/>
            <wp:effectExtent l="0" t="0" r="13970" b="11430"/>
            <wp:docPr id="11" name="图片 11" descr="d01cd5d7bd621da5bffa6d75e2d73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d01cd5d7bd621da5bffa6d75e2d731f"/>
                    <pic:cNvPicPr>
                      <a:picLocks noChangeAspect="1"/>
                    </pic:cNvPicPr>
                  </pic:nvPicPr>
                  <pic:blipFill>
                    <a:blip r:embed="rId8"/>
                    <a:stretch>
                      <a:fillRect/>
                    </a:stretch>
                  </pic:blipFill>
                  <pic:spPr>
                    <a:xfrm>
                      <a:off x="0" y="0"/>
                      <a:ext cx="4939030" cy="3550920"/>
                    </a:xfrm>
                    <a:prstGeom prst="rect">
                      <a:avLst/>
                    </a:prstGeom>
                  </pic:spPr>
                </pic:pic>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z w:val="21"/>
          <w:szCs w:val="21"/>
          <w:shd w:val="clear" w:color="auto" w:fill="FFFFFF"/>
          <w:lang w:eastAsia="zh-CN"/>
        </w:rPr>
        <w:t>图</w:t>
      </w:r>
      <w:r>
        <w:rPr>
          <w:rFonts w:hint="eastAsia" w:ascii="微软雅黑" w:hAnsi="微软雅黑" w:eastAsia="微软雅黑" w:cs="微软雅黑"/>
          <w:color w:val="auto"/>
          <w:sz w:val="21"/>
          <w:szCs w:val="21"/>
          <w:shd w:val="clear" w:color="auto" w:fill="FFFFFF"/>
          <w:lang w:val="en-US" w:eastAsia="zh-CN"/>
        </w:rPr>
        <w:t xml:space="preserve">1.5 </w:t>
      </w:r>
      <w:r>
        <w:rPr>
          <w:rFonts w:hint="eastAsia" w:ascii="微软雅黑" w:hAnsi="微软雅黑" w:eastAsia="微软雅黑" w:cs="微软雅黑"/>
          <w:color w:val="auto"/>
          <w:sz w:val="21"/>
          <w:szCs w:val="21"/>
          <w:shd w:val="clear" w:color="auto" w:fill="FFFFFF"/>
        </w:rPr>
        <w:t>学生观看专题教育片</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学校坚持立德树人为根本，以问题为导向，以就业准入制度为切入点，严格按照国家职业教育标准</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组织实施职业培训</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加强学生能力培养和职业技能鉴定考核，为培养符合职业教育要求的高素质人才奠定扎实基础。</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ascii="微软雅黑" w:hAnsi="微软雅黑" w:eastAsia="微软雅黑" w:cs="微软雅黑"/>
          <w:color w:val="auto"/>
          <w:shd w:val="clear" w:color="auto" w:fill="FFFFFF"/>
        </w:rPr>
      </w:pPr>
      <w:bookmarkStart w:id="8" w:name="_Toc25288"/>
      <w:r>
        <w:rPr>
          <w:rFonts w:hint="eastAsia" w:ascii="微软雅黑" w:hAnsi="微软雅黑" w:eastAsia="微软雅黑" w:cs="微软雅黑"/>
          <w:color w:val="auto"/>
          <w:shd w:val="clear" w:color="auto" w:fill="FFFFFF"/>
        </w:rPr>
        <w:t>2.3在校体验。</w:t>
      </w:r>
      <w:bookmarkEnd w:id="8"/>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通过问卷调查、师生座谈、回访等形式进行调查，学生认为学校理论课、专业课、实习实训课课时结构合理，学生理论课学习满意度、专业课学习满意度、实习实训满意度达9</w:t>
      </w:r>
      <w:r>
        <w:rPr>
          <w:rFonts w:hint="eastAsia" w:ascii="微软雅黑" w:hAnsi="微软雅黑" w:eastAsia="微软雅黑" w:cs="微软雅黑"/>
          <w:color w:val="auto"/>
          <w:shd w:val="clear" w:color="auto" w:fill="FFFFFF"/>
          <w:lang w:val="en-US" w:eastAsia="zh-CN"/>
        </w:rPr>
        <w:t>9</w:t>
      </w:r>
      <w:r>
        <w:rPr>
          <w:rFonts w:hint="eastAsia" w:ascii="微软雅黑" w:hAnsi="微软雅黑" w:eastAsia="微软雅黑" w:cs="微软雅黑"/>
          <w:color w:val="auto"/>
          <w:shd w:val="clear" w:color="auto" w:fill="FFFFFF"/>
        </w:rPr>
        <w:t>%。学生在校园文化与社团活动满意度达98%，师生生活满意度、校园安全满意度两项均达到99%。通过多种途径对毕业生、家长进行回访，学生、家长对学校安置等工作满意度达</w:t>
      </w:r>
      <w:r>
        <w:rPr>
          <w:rFonts w:hint="eastAsia" w:ascii="微软雅黑" w:hAnsi="微软雅黑" w:eastAsia="微软雅黑" w:cs="微软雅黑"/>
          <w:color w:val="auto"/>
          <w:shd w:val="clear" w:color="auto" w:fill="FFFFFF"/>
          <w:lang w:val="en-US" w:eastAsia="zh-CN"/>
        </w:rPr>
        <w:t>100</w:t>
      </w:r>
      <w:r>
        <w:rPr>
          <w:rFonts w:hint="eastAsia" w:ascii="微软雅黑" w:hAnsi="微软雅黑" w:eastAsia="微软雅黑" w:cs="微软雅黑"/>
          <w:color w:val="auto"/>
          <w:shd w:val="clear" w:color="auto" w:fill="FFFFFF"/>
        </w:rPr>
        <w:t>%。</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9" w:name="_Toc9749"/>
      <w:r>
        <w:rPr>
          <w:rFonts w:hint="eastAsia" w:ascii="微软雅黑" w:hAnsi="微软雅黑" w:eastAsia="微软雅黑" w:cs="微软雅黑"/>
          <w:color w:val="auto"/>
          <w:shd w:val="clear" w:color="auto" w:fill="FFFFFF"/>
        </w:rPr>
        <w:t>2.4就业质量。</w:t>
      </w:r>
      <w:bookmarkEnd w:id="9"/>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9"/>
        <w:rPr>
          <w:rFonts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学校始终把毕业生就业情况作为检验教育教学质量的试金石</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主动适应社会经济发展需求，大力拓展就业渠道，强化就业信息服务，从学生的主管就业意愿出发，鼓励学生从社会需求、个人爱好相结合，选择报考学校，一方面提高学生就业竞争力，同时以创业带动就业，提升毕业生就业率，保障毕业生高质量就业。</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jc w:val="left"/>
        <w:textAlignment w:val="auto"/>
        <w:outlineLvl w:val="9"/>
        <w:rPr>
          <w:rFonts w:hint="eastAsia" w:ascii="微软雅黑" w:hAnsi="微软雅黑" w:eastAsia="微软雅黑" w:cs="微软雅黑"/>
          <w:color w:val="auto"/>
          <w:highlight w:val="none"/>
          <w:shd w:val="clear" w:color="auto" w:fill="FFFFFF"/>
        </w:rPr>
      </w:pPr>
      <w:r>
        <w:rPr>
          <w:rFonts w:hint="eastAsia" w:ascii="微软雅黑" w:hAnsi="微软雅黑" w:eastAsia="微软雅黑" w:cs="微软雅黑"/>
          <w:color w:val="auto"/>
          <w:shd w:val="clear" w:color="auto" w:fill="FFFFFF"/>
        </w:rPr>
        <w:t>2022年度学生文化课合格率为96.2%，比去年提高了1.2%。专业技能</w:t>
      </w:r>
      <w:r>
        <w:rPr>
          <w:rFonts w:hint="eastAsia" w:ascii="微软雅黑" w:hAnsi="微软雅黑" w:eastAsia="微软雅黑" w:cs="微软雅黑"/>
          <w:color w:val="auto"/>
          <w:shd w:val="clear" w:color="auto" w:fill="FFFFFF"/>
          <w:lang w:eastAsia="zh-CN"/>
        </w:rPr>
        <w:t>合</w:t>
      </w:r>
      <w:r>
        <w:rPr>
          <w:rFonts w:hint="eastAsia" w:ascii="微软雅黑" w:hAnsi="微软雅黑" w:eastAsia="微软雅黑" w:cs="微软雅黑"/>
          <w:color w:val="auto"/>
          <w:shd w:val="clear" w:color="auto" w:fill="FFFFFF"/>
        </w:rPr>
        <w:t>格率为95.4%，比去年提高了2%。</w:t>
      </w:r>
      <w:r>
        <w:rPr>
          <w:rFonts w:hint="eastAsia" w:ascii="微软雅黑" w:hAnsi="微软雅黑" w:eastAsia="微软雅黑" w:cs="微软雅黑"/>
          <w:color w:val="auto"/>
          <w:highlight w:val="none"/>
          <w:shd w:val="clear" w:color="auto" w:fill="FFFFFF"/>
        </w:rPr>
        <w:t>体质测评合格率为</w:t>
      </w:r>
      <w:r>
        <w:rPr>
          <w:rFonts w:hint="eastAsia" w:ascii="微软雅黑" w:hAnsi="微软雅黑" w:eastAsia="微软雅黑" w:cs="微软雅黑"/>
          <w:color w:val="auto"/>
          <w:highlight w:val="none"/>
          <w:shd w:val="clear" w:color="auto" w:fill="FFFFFF"/>
          <w:lang w:val="en-US" w:eastAsia="zh-CN"/>
        </w:rPr>
        <w:t>100</w:t>
      </w:r>
      <w:r>
        <w:rPr>
          <w:rFonts w:hint="eastAsia" w:ascii="微软雅黑" w:hAnsi="微软雅黑" w:eastAsia="微软雅黑" w:cs="微软雅黑"/>
          <w:color w:val="auto"/>
          <w:highlight w:val="none"/>
          <w:shd w:val="clear" w:color="auto" w:fill="FFFFFF"/>
        </w:rPr>
        <w:t>%</w:t>
      </w:r>
      <w:r>
        <w:rPr>
          <w:rFonts w:hint="eastAsia" w:ascii="微软雅黑" w:hAnsi="微软雅黑" w:eastAsia="微软雅黑" w:cs="微软雅黑"/>
          <w:color w:val="auto"/>
          <w:highlight w:val="none"/>
          <w:shd w:val="clear" w:color="auto" w:fill="FFFFFF"/>
          <w:lang w:eastAsia="zh-CN"/>
        </w:rPr>
        <w:t>，</w:t>
      </w:r>
      <w:r>
        <w:rPr>
          <w:rFonts w:hint="eastAsia" w:ascii="微软雅黑" w:hAnsi="微软雅黑" w:eastAsia="微软雅黑" w:cs="微软雅黑"/>
          <w:color w:val="auto"/>
          <w:highlight w:val="none"/>
          <w:shd w:val="clear" w:color="auto" w:fill="FFFFFF"/>
        </w:rPr>
        <w:t>比去年提高了</w:t>
      </w:r>
      <w:r>
        <w:rPr>
          <w:rFonts w:hint="eastAsia" w:ascii="微软雅黑" w:hAnsi="微软雅黑" w:eastAsia="微软雅黑" w:cs="微软雅黑"/>
          <w:color w:val="auto"/>
          <w:highlight w:val="none"/>
          <w:shd w:val="clear" w:color="auto" w:fill="FFFFFF"/>
          <w:lang w:val="en-US" w:eastAsia="zh-CN"/>
        </w:rPr>
        <w:t>3</w:t>
      </w:r>
      <w:r>
        <w:rPr>
          <w:rFonts w:hint="eastAsia" w:ascii="微软雅黑" w:hAnsi="微软雅黑" w:eastAsia="微软雅黑" w:cs="微软雅黑"/>
          <w:color w:val="auto"/>
          <w:highlight w:val="none"/>
          <w:shd w:val="clear" w:color="auto" w:fill="FFFFFF"/>
        </w:rPr>
        <w:t>.2%。</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textAlignment w:val="auto"/>
        <w:outlineLvl w:val="9"/>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lang w:val="en-US" w:eastAsia="zh-CN"/>
        </w:rPr>
        <w:t xml:space="preserve"> </w:t>
      </w:r>
      <w:r>
        <w:rPr>
          <w:rFonts w:hint="eastAsia" w:ascii="微软雅黑" w:hAnsi="微软雅黑" w:eastAsia="微软雅黑" w:cs="微软雅黑"/>
          <w:color w:val="auto"/>
          <w:shd w:val="clear" w:color="auto" w:fill="FFFFFF"/>
          <w:lang w:eastAsia="zh-CN"/>
        </w:rPr>
        <w:drawing>
          <wp:inline distT="0" distB="0" distL="114300" distR="114300">
            <wp:extent cx="5080000" cy="3563620"/>
            <wp:effectExtent l="4445" t="4445" r="20955" b="13335"/>
            <wp:docPr id="10" name="图表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z w:val="21"/>
          <w:szCs w:val="21"/>
          <w:shd w:val="clear" w:color="auto" w:fill="FFFFFF"/>
          <w:lang w:eastAsia="zh-CN"/>
        </w:rPr>
        <w:t>图</w:t>
      </w:r>
      <w:r>
        <w:rPr>
          <w:rFonts w:hint="eastAsia" w:ascii="微软雅黑" w:hAnsi="微软雅黑" w:eastAsia="微软雅黑" w:cs="微软雅黑"/>
          <w:color w:val="auto"/>
          <w:sz w:val="21"/>
          <w:szCs w:val="21"/>
          <w:shd w:val="clear" w:color="auto" w:fill="FFFFFF"/>
          <w:lang w:val="en-US" w:eastAsia="zh-CN"/>
        </w:rPr>
        <w:t xml:space="preserve">1.6 </w:t>
      </w:r>
      <w:r>
        <w:rPr>
          <w:rFonts w:hint="eastAsia" w:ascii="微软雅黑" w:hAnsi="微软雅黑" w:eastAsia="微软雅黑" w:cs="微软雅黑"/>
          <w:color w:val="auto"/>
          <w:sz w:val="21"/>
          <w:szCs w:val="21"/>
          <w:shd w:val="clear" w:color="auto" w:fill="FFFFFF"/>
          <w:lang w:eastAsia="zh-CN"/>
        </w:rPr>
        <w:t>学生各项测评比例图</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9"/>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2022年，</w:t>
      </w: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毕业生为11人，其中单招升学人数为9人，2人高考考入理想院校</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对口</w:t>
      </w:r>
      <w:r>
        <w:rPr>
          <w:rFonts w:hint="eastAsia" w:ascii="微软雅黑" w:hAnsi="微软雅黑" w:eastAsia="微软雅黑" w:cs="微软雅黑"/>
          <w:color w:val="auto"/>
          <w:shd w:val="clear" w:color="auto" w:fill="FFFFFF"/>
          <w:lang w:eastAsia="zh-CN"/>
        </w:rPr>
        <w:t>升学</w:t>
      </w:r>
      <w:r>
        <w:rPr>
          <w:rFonts w:hint="eastAsia" w:ascii="微软雅黑" w:hAnsi="微软雅黑" w:eastAsia="微软雅黑" w:cs="微软雅黑"/>
          <w:color w:val="auto"/>
          <w:shd w:val="clear" w:color="auto" w:fill="FFFFFF"/>
        </w:rPr>
        <w:t>率为100%。</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10" w:name="_Toc6940"/>
      <w:r>
        <w:rPr>
          <w:rFonts w:hint="eastAsia" w:ascii="微软雅黑" w:hAnsi="微软雅黑" w:eastAsia="微软雅黑" w:cs="微软雅黑"/>
          <w:color w:val="auto"/>
          <w:shd w:val="clear" w:color="auto" w:fill="FFFFFF"/>
        </w:rPr>
        <w:t>2.5创新创业。</w:t>
      </w:r>
      <w:bookmarkEnd w:id="10"/>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学校通过充分的市场调研，确定人才培养规格和专业人才培养目标，制订专业人才培养方案，确定课程标准，重构课程体系，遵循学生的认知规律及职业成长规律，真正形成融合学生人文素养、专业知识、职业技能、职业态度和职业素养的培养体系，其中包含通过校内、外实训学习和顶岗实习递进式的系统专业实践教学体系，积极进行现代学徒制试点，实现高技能人才培养，着重培养学生开拓创新能力，激励学生把所学知识同社会实践相结合，和社会的需求相结合发挥自己创新潜能，和新农村建设大政方针有效对接，大胆展现自我价值和发挥主观能动性，进行创新创业试点，助力学生创新创业。</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0"/>
        <w:rPr>
          <w:rFonts w:ascii="微软雅黑" w:hAnsi="微软雅黑" w:eastAsia="微软雅黑" w:cs="微软雅黑"/>
          <w:color w:val="auto"/>
        </w:rPr>
      </w:pPr>
      <w:bookmarkStart w:id="11" w:name="_Toc751"/>
      <w:r>
        <w:rPr>
          <w:rFonts w:hint="eastAsia" w:ascii="微软雅黑" w:hAnsi="微软雅黑" w:eastAsia="微软雅黑" w:cs="微软雅黑"/>
          <w:color w:val="auto"/>
          <w:shd w:val="clear" w:color="auto" w:fill="FFFFFF"/>
        </w:rPr>
        <w:t>3.教育教学质量保障措施</w:t>
      </w:r>
      <w:bookmarkEnd w:id="11"/>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12" w:name="_Toc11182"/>
      <w:r>
        <w:rPr>
          <w:rFonts w:hint="eastAsia" w:ascii="微软雅黑" w:hAnsi="微软雅黑" w:eastAsia="微软雅黑" w:cs="微软雅黑"/>
          <w:color w:val="auto"/>
          <w:shd w:val="clear" w:color="auto" w:fill="FFFFFF"/>
        </w:rPr>
        <w:t>3.1专业建设质量。</w:t>
      </w:r>
      <w:bookmarkEnd w:id="12"/>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开设专业为计算机应用专业。突出专业建设，促进科学发展，学校建立并完善人才需求与专业内容动态调整机制，学校计算机应用专业均成立了由行业企业专家和本校骨干教师组成的专业建设委员会，通过广泛的调研，并根据调研结果和学校专业建设规划，制定了专业建设规划和年度发展建设实施规划。紧跟时代步伐，不断优化计算机专业教师，根据社会发展需求，及时更新计算机专业知识内容。并定期邀请第三方对专业建设质量进行评价，在年末进行专业建设工作总结，不断提高专业教学质量。</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学校按照教育与产业、学校与企业、专业设置与职业岗位相对接的原则进行专业动态调整，主动适应区域产业结构优化升级要求，有重点的建设面向当地重点产业、优势产业和战略性新兴产业的计算机应用品牌专业。</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13" w:name="_Toc12798"/>
      <w:r>
        <w:rPr>
          <w:rFonts w:hint="eastAsia" w:ascii="微软雅黑" w:hAnsi="微软雅黑" w:eastAsia="微软雅黑" w:cs="微软雅黑"/>
          <w:color w:val="auto"/>
          <w:shd w:val="clear" w:color="auto" w:fill="FFFFFF"/>
        </w:rPr>
        <w:t>3.2课程建设质量</w:t>
      </w:r>
      <w:r>
        <w:rPr>
          <w:rFonts w:hint="eastAsia" w:ascii="微软雅黑" w:hAnsi="微软雅黑" w:eastAsia="微软雅黑" w:cs="微软雅黑"/>
          <w:color w:val="auto"/>
          <w:shd w:val="clear" w:color="auto" w:fill="FFFFFF"/>
          <w:lang w:eastAsia="zh-CN"/>
        </w:rPr>
        <w:t>。</w:t>
      </w:r>
      <w:bookmarkEnd w:id="13"/>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以就业为导向，围绕职教高考和单招升学，对标提升课程建设质量。中职学校的课程建设正处于转变模式、建立特色、与时俱进的重要时期，中职教育只有围绕国家产业经济的变化、专业的社会需求和发展进行课程改革，才能适应社会的发展。因此，中职学校应树立课程新理念，在课程建设中采取以下措施:1.</w:t>
      </w:r>
      <w:r>
        <w:rPr>
          <w:rFonts w:hint="eastAsia" w:ascii="微软雅黑" w:hAnsi="微软雅黑" w:eastAsia="微软雅黑" w:cs="微软雅黑"/>
          <w:color w:val="auto"/>
          <w:shd w:val="clear" w:color="auto" w:fill="FFFFFF"/>
          <w:lang w:eastAsia="zh-CN"/>
        </w:rPr>
        <w:t>思</w:t>
      </w:r>
      <w:r>
        <w:rPr>
          <w:rFonts w:hint="eastAsia" w:ascii="微软雅黑" w:hAnsi="微软雅黑" w:eastAsia="微软雅黑" w:cs="微软雅黑"/>
          <w:color w:val="auto"/>
          <w:shd w:val="clear" w:color="auto" w:fill="FFFFFF"/>
        </w:rPr>
        <w:t>政</w:t>
      </w:r>
      <w:r>
        <w:rPr>
          <w:rFonts w:hint="eastAsia" w:ascii="微软雅黑" w:hAnsi="微软雅黑" w:eastAsia="微软雅黑" w:cs="微软雅黑"/>
          <w:color w:val="auto"/>
          <w:shd w:val="clear" w:color="auto" w:fill="FFFFFF"/>
          <w:lang w:eastAsia="zh-CN"/>
        </w:rPr>
        <w:t>课</w:t>
      </w:r>
      <w:r>
        <w:rPr>
          <w:rFonts w:hint="eastAsia" w:ascii="微软雅黑" w:hAnsi="微软雅黑" w:eastAsia="微软雅黑" w:cs="微软雅黑"/>
          <w:color w:val="auto"/>
          <w:shd w:val="clear" w:color="auto" w:fill="FFFFFF"/>
        </w:rPr>
        <w:t>为引导，建立课程系统性、结构完整性；2.与时俱进，不断更新课程内容；3.以国家专业标准为指导，提高课程升学、就业针对性和实用性。合理确定公共基础课和专业技能课学时比例，根据行业产业发展适时修订，并遵守严格的审批手续，选用职业教育大纲规定教材构建，以就业创业能力培养为本位、以职业实践为主线、以项目课程为主体的模块化专业课程体系。</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14" w:name="_Toc31192"/>
      <w:r>
        <w:rPr>
          <w:rFonts w:hint="eastAsia" w:ascii="微软雅黑" w:hAnsi="微软雅黑" w:eastAsia="微软雅黑" w:cs="微软雅黑"/>
          <w:color w:val="auto"/>
          <w:shd w:val="clear" w:color="auto" w:fill="FFFFFF"/>
        </w:rPr>
        <w:t>3.3教育教学方法改革。</w:t>
      </w:r>
      <w:bookmarkEnd w:id="14"/>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随着新的《职业教育法》颁布实施，国家对职业教育的重视程度日益加大。企业对技能型、实用型人才的需求不断递增，中职学校为了适应市场和企业的需求，需加快教学改革，强化技能训练立足学生的素质和能力培养，学校不断创新教学方法：案例教学法、行为导向教学法、分层合作教学法、目标驱动教学法、激励潜能教学法。大力加强计算机应用专业建设，不断提升专业教学建设水平。计算机专业均实现了教学、实训一体化，学生职业道德、职业素质培养与技术技能训练高度融合。教育教学方法改革取得初步成效。</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15" w:name="_Toc15514"/>
      <w:r>
        <w:rPr>
          <w:rFonts w:hint="eastAsia" w:ascii="微软雅黑" w:hAnsi="微软雅黑" w:eastAsia="微软雅黑" w:cs="微软雅黑"/>
          <w:color w:val="auto"/>
          <w:shd w:val="clear" w:color="auto" w:fill="FFFFFF"/>
        </w:rPr>
        <w:t>3.4数字化教学资源建设</w:t>
      </w:r>
      <w:bookmarkEnd w:id="15"/>
      <w:r>
        <w:rPr>
          <w:rFonts w:hint="eastAsia" w:ascii="微软雅黑" w:hAnsi="微软雅黑" w:eastAsia="微软雅黑" w:cs="微软雅黑"/>
          <w:color w:val="auto"/>
          <w:shd w:val="clear" w:color="auto" w:fill="FFFFFF"/>
          <w:lang w:eastAsia="zh-CN"/>
        </w:rPr>
        <w:t>。</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随着我国数字化建设发展，社会经济建设，日常生活中的数字化应用也日益广泛，数字化教学建设对学生就业愈来愈显得重要。学校根据社会需求结合</w:t>
      </w: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专业特点，非常重视数字化教学资源建设和更新，目前学校有数字化教学资源：计算机</w:t>
      </w:r>
      <w:r>
        <w:rPr>
          <w:rFonts w:hint="eastAsia" w:ascii="微软雅黑" w:hAnsi="微软雅黑" w:eastAsia="微软雅黑" w:cs="微软雅黑"/>
          <w:color w:val="auto"/>
          <w:shd w:val="clear" w:color="auto" w:fill="FFFFFF"/>
          <w:lang w:val="en-US" w:eastAsia="zh-CN"/>
        </w:rPr>
        <w:t>1</w:t>
      </w:r>
      <w:r>
        <w:rPr>
          <w:rFonts w:hint="eastAsia" w:ascii="微软雅黑" w:hAnsi="微软雅黑" w:eastAsia="微软雅黑" w:cs="微软雅黑"/>
          <w:color w:val="auto"/>
          <w:shd w:val="clear" w:color="auto" w:fill="FFFFFF"/>
        </w:rPr>
        <w:t>00台，</w:t>
      </w:r>
      <w:r>
        <w:rPr>
          <w:rFonts w:hint="eastAsia" w:ascii="微软雅黑" w:hAnsi="微软雅黑" w:eastAsia="微软雅黑" w:cs="微软雅黑"/>
          <w:color w:val="auto"/>
          <w:shd w:val="clear" w:color="auto" w:fill="FFFFFF"/>
          <w:lang w:eastAsia="zh-CN"/>
        </w:rPr>
        <w:t>投影仪、</w:t>
      </w:r>
      <w:r>
        <w:rPr>
          <w:rFonts w:hint="eastAsia" w:ascii="微软雅黑" w:hAnsi="微软雅黑" w:eastAsia="微软雅黑" w:cs="微软雅黑"/>
          <w:color w:val="auto"/>
          <w:shd w:val="clear" w:color="auto" w:fill="FFFFFF"/>
        </w:rPr>
        <w:t>教学</w:t>
      </w:r>
      <w:r>
        <w:rPr>
          <w:rFonts w:hint="eastAsia" w:ascii="微软雅黑" w:hAnsi="微软雅黑" w:eastAsia="微软雅黑" w:cs="微软雅黑"/>
          <w:color w:val="auto"/>
          <w:shd w:val="clear" w:color="auto" w:fill="FFFFFF"/>
          <w:lang w:eastAsia="zh-CN"/>
        </w:rPr>
        <w:t>一体机</w:t>
      </w:r>
      <w:r>
        <w:rPr>
          <w:rFonts w:hint="eastAsia" w:ascii="微软雅黑" w:hAnsi="微软雅黑" w:eastAsia="微软雅黑" w:cs="微软雅黑"/>
          <w:color w:val="auto"/>
          <w:shd w:val="clear" w:color="auto" w:fill="FFFFFF"/>
          <w:lang w:val="en-US" w:eastAsia="zh-CN"/>
        </w:rPr>
        <w:t>8</w:t>
      </w:r>
      <w:r>
        <w:rPr>
          <w:rFonts w:hint="eastAsia" w:ascii="微软雅黑" w:hAnsi="微软雅黑" w:eastAsia="微软雅黑" w:cs="微软雅黑"/>
          <w:color w:val="auto"/>
          <w:shd w:val="clear" w:color="auto" w:fill="FFFFFF"/>
          <w:lang w:eastAsia="zh-CN"/>
        </w:rPr>
        <w:t>台</w:t>
      </w:r>
      <w:r>
        <w:rPr>
          <w:rFonts w:hint="eastAsia" w:ascii="微软雅黑" w:hAnsi="微软雅黑" w:eastAsia="微软雅黑" w:cs="微软雅黑"/>
          <w:color w:val="auto"/>
          <w:shd w:val="clear" w:color="auto" w:fill="FFFFFF"/>
        </w:rPr>
        <w:t>，学校生均教学仪器设备</w:t>
      </w:r>
      <w:r>
        <w:rPr>
          <w:rFonts w:hint="eastAsia" w:ascii="微软雅黑" w:hAnsi="微软雅黑" w:eastAsia="微软雅黑" w:cs="微软雅黑"/>
          <w:color w:val="auto"/>
          <w:shd w:val="clear" w:color="auto" w:fill="FFFFFF"/>
          <w:lang w:val="en-US" w:eastAsia="zh-CN"/>
        </w:rPr>
        <w:t>23255.81</w:t>
      </w:r>
      <w:r>
        <w:rPr>
          <w:rFonts w:hint="eastAsia" w:ascii="微软雅黑" w:hAnsi="微软雅黑" w:eastAsia="微软雅黑" w:cs="微软雅黑"/>
          <w:color w:val="auto"/>
          <w:shd w:val="clear" w:color="auto" w:fill="FFFFFF"/>
        </w:rPr>
        <w:t>元，生均实习工位数1.3台。</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16" w:name="_Toc25940"/>
      <w:r>
        <w:rPr>
          <w:rFonts w:hint="eastAsia" w:ascii="微软雅黑" w:hAnsi="微软雅黑" w:eastAsia="微软雅黑" w:cs="微软雅黑"/>
          <w:color w:val="auto"/>
          <w:shd w:val="clear" w:color="auto" w:fill="FFFFFF"/>
        </w:rPr>
        <w:t>3.5师资队伍建设。</w:t>
      </w:r>
      <w:bookmarkEnd w:id="16"/>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学校现有教职工36人，专任教师</w:t>
      </w:r>
      <w:r>
        <w:rPr>
          <w:rFonts w:hint="eastAsia" w:ascii="微软雅黑" w:hAnsi="微软雅黑" w:eastAsia="微软雅黑" w:cs="微软雅黑"/>
          <w:color w:val="auto"/>
          <w:shd w:val="clear" w:color="auto" w:fill="FFFFFF"/>
          <w:lang w:val="en-US" w:eastAsia="zh-CN"/>
        </w:rPr>
        <w:t>20</w:t>
      </w:r>
      <w:r>
        <w:rPr>
          <w:rFonts w:hint="eastAsia" w:ascii="微软雅黑" w:hAnsi="微软雅黑" w:eastAsia="微软雅黑" w:cs="微软雅黑"/>
          <w:color w:val="auto"/>
          <w:shd w:val="clear" w:color="auto" w:fill="FFFFFF"/>
        </w:rPr>
        <w:t>人，兼职教师</w:t>
      </w:r>
      <w:r>
        <w:rPr>
          <w:rFonts w:hint="eastAsia" w:ascii="微软雅黑" w:hAnsi="微软雅黑" w:eastAsia="微软雅黑" w:cs="微软雅黑"/>
          <w:color w:val="auto"/>
          <w:shd w:val="clear" w:color="auto" w:fill="FFFFFF"/>
          <w:lang w:val="en-US" w:eastAsia="zh-CN"/>
        </w:rPr>
        <w:t>15</w:t>
      </w:r>
      <w:r>
        <w:rPr>
          <w:rFonts w:hint="eastAsia" w:ascii="微软雅黑" w:hAnsi="微软雅黑" w:eastAsia="微软雅黑" w:cs="微软雅黑"/>
          <w:color w:val="auto"/>
          <w:shd w:val="clear" w:color="auto" w:fill="FFFFFF"/>
        </w:rPr>
        <w:t>人，生师比为</w:t>
      </w:r>
      <w:r>
        <w:rPr>
          <w:rFonts w:hint="eastAsia" w:ascii="微软雅黑" w:hAnsi="微软雅黑" w:eastAsia="微软雅黑" w:cs="微软雅黑"/>
          <w:color w:val="auto"/>
          <w:shd w:val="clear" w:color="auto" w:fill="FFFFFF"/>
          <w:lang w:val="en-US" w:eastAsia="zh-CN"/>
        </w:rPr>
        <w:t>9.95</w:t>
      </w:r>
      <w:r>
        <w:rPr>
          <w:rFonts w:hint="eastAsia" w:ascii="微软雅黑" w:hAnsi="微软雅黑" w:eastAsia="微软雅黑" w:cs="微软雅黑"/>
          <w:color w:val="auto"/>
          <w:shd w:val="clear" w:color="auto" w:fill="FFFFFF"/>
        </w:rPr>
        <w:t>:1。专任教师本科以上学历</w:t>
      </w:r>
      <w:r>
        <w:rPr>
          <w:rFonts w:hint="eastAsia" w:ascii="微软雅黑" w:hAnsi="微软雅黑" w:eastAsia="微软雅黑" w:cs="微软雅黑"/>
          <w:color w:val="auto"/>
          <w:shd w:val="clear" w:color="auto" w:fill="FFFFFF"/>
          <w:lang w:val="en-US" w:eastAsia="zh-CN"/>
        </w:rPr>
        <w:t>19</w:t>
      </w:r>
      <w:r>
        <w:rPr>
          <w:rFonts w:hint="eastAsia" w:ascii="微软雅黑" w:hAnsi="微软雅黑" w:eastAsia="微软雅黑" w:cs="微软雅黑"/>
          <w:color w:val="auto"/>
          <w:shd w:val="clear" w:color="auto" w:fill="FFFFFF"/>
        </w:rPr>
        <w:t>人，占专任教师比例为</w:t>
      </w:r>
      <w:r>
        <w:rPr>
          <w:rFonts w:hint="eastAsia" w:ascii="微软雅黑" w:hAnsi="微软雅黑" w:eastAsia="微软雅黑" w:cs="微软雅黑"/>
          <w:color w:val="auto"/>
          <w:shd w:val="clear" w:color="auto" w:fill="FFFFFF"/>
          <w:lang w:val="en-US" w:eastAsia="zh-CN"/>
        </w:rPr>
        <w:t>95</w:t>
      </w:r>
      <w:r>
        <w:rPr>
          <w:rFonts w:hint="eastAsia" w:ascii="微软雅黑" w:hAnsi="微软雅黑" w:eastAsia="微软雅黑" w:cs="微软雅黑"/>
          <w:color w:val="auto"/>
          <w:shd w:val="clear" w:color="auto" w:fill="FFFFFF"/>
        </w:rPr>
        <w:t>%，高级职称</w:t>
      </w:r>
      <w:r>
        <w:rPr>
          <w:rFonts w:hint="eastAsia" w:ascii="微软雅黑" w:hAnsi="微软雅黑" w:eastAsia="微软雅黑" w:cs="微软雅黑"/>
          <w:color w:val="auto"/>
          <w:shd w:val="clear" w:color="auto" w:fill="FFFFFF"/>
          <w:lang w:val="en-US" w:eastAsia="zh-CN"/>
        </w:rPr>
        <w:t>9</w:t>
      </w:r>
      <w:r>
        <w:rPr>
          <w:rFonts w:hint="eastAsia" w:ascii="微软雅黑" w:hAnsi="微软雅黑" w:eastAsia="微软雅黑" w:cs="微软雅黑"/>
          <w:color w:val="auto"/>
          <w:shd w:val="clear" w:color="auto" w:fill="FFFFFF"/>
        </w:rPr>
        <w:t>人，占专任教师比例为</w:t>
      </w:r>
      <w:r>
        <w:rPr>
          <w:rFonts w:hint="eastAsia" w:ascii="微软雅黑" w:hAnsi="微软雅黑" w:eastAsia="微软雅黑" w:cs="微软雅黑"/>
          <w:color w:val="auto"/>
          <w:shd w:val="clear" w:color="auto" w:fill="FFFFFF"/>
          <w:lang w:val="en-US" w:eastAsia="zh-CN"/>
        </w:rPr>
        <w:t>45</w:t>
      </w:r>
      <w:r>
        <w:rPr>
          <w:rFonts w:hint="eastAsia" w:ascii="微软雅黑" w:hAnsi="微软雅黑" w:eastAsia="微软雅黑" w:cs="微软雅黑"/>
          <w:color w:val="auto"/>
          <w:shd w:val="clear" w:color="auto" w:fill="FFFFFF"/>
        </w:rPr>
        <w:t>%，“双师型”教师</w:t>
      </w:r>
      <w:r>
        <w:rPr>
          <w:rFonts w:hint="eastAsia" w:ascii="微软雅黑" w:hAnsi="微软雅黑" w:eastAsia="微软雅黑" w:cs="微软雅黑"/>
          <w:color w:val="auto"/>
          <w:shd w:val="clear" w:color="auto" w:fill="FFFFFF"/>
          <w:lang w:val="en-US" w:eastAsia="zh-CN"/>
        </w:rPr>
        <w:t>3</w:t>
      </w:r>
      <w:r>
        <w:rPr>
          <w:rFonts w:hint="eastAsia" w:ascii="微软雅黑" w:hAnsi="微软雅黑" w:eastAsia="微软雅黑" w:cs="微软雅黑"/>
          <w:color w:val="auto"/>
          <w:shd w:val="clear" w:color="auto" w:fill="FFFFFF"/>
        </w:rPr>
        <w:t>人，占专任教师比例为</w:t>
      </w:r>
      <w:r>
        <w:rPr>
          <w:rFonts w:hint="eastAsia" w:ascii="微软雅黑" w:hAnsi="微软雅黑" w:eastAsia="微软雅黑" w:cs="微软雅黑"/>
          <w:color w:val="auto"/>
          <w:shd w:val="clear" w:color="auto" w:fill="FFFFFF"/>
          <w:lang w:val="en-US" w:eastAsia="zh-CN"/>
        </w:rPr>
        <w:t>15</w:t>
      </w:r>
      <w:r>
        <w:rPr>
          <w:rFonts w:hint="eastAsia" w:ascii="微软雅黑" w:hAnsi="微软雅黑" w:eastAsia="微软雅黑" w:cs="微软雅黑"/>
          <w:color w:val="auto"/>
          <w:shd w:val="clear" w:color="auto" w:fill="FFFFFF"/>
        </w:rPr>
        <w:t>%。</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学校不断推动名师及团队建设且成效显著。学校4名市级名师，充分发挥了名师引领学科教学科研及对年轻教师的指导、示范、培养作用。学校每学期定期举办教学基本功竞赛及教学开放周活动</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以此增强自我诊断自主发展能力。通过活动，加强交流学习</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深化教学改革，提升管理水平，提高师资水平。2022年度共组织</w:t>
      </w:r>
      <w:r>
        <w:rPr>
          <w:rFonts w:hint="eastAsia" w:ascii="微软雅黑" w:hAnsi="微软雅黑" w:eastAsia="微软雅黑" w:cs="微软雅黑"/>
          <w:color w:val="auto"/>
          <w:shd w:val="clear" w:color="auto" w:fill="FFFFFF"/>
          <w:lang w:val="en-US" w:eastAsia="zh-CN"/>
        </w:rPr>
        <w:t>20</w:t>
      </w:r>
      <w:r>
        <w:rPr>
          <w:rFonts w:hint="eastAsia" w:ascii="微软雅黑" w:hAnsi="微软雅黑" w:eastAsia="微软雅黑" w:cs="微软雅黑"/>
          <w:color w:val="auto"/>
          <w:shd w:val="clear" w:color="auto" w:fill="FFFFFF"/>
        </w:rPr>
        <w:t>名教师参加中职学校10门公共基础课程标准、国培项目、中职学校教师省级培训、教学能力大赛等各类教师业务能力培训2次；班主任业务能力提升培训1次，提升了教师整体素养。</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17" w:name="_Toc6224"/>
      <w:r>
        <w:rPr>
          <w:rFonts w:hint="eastAsia" w:ascii="微软雅黑" w:hAnsi="微软雅黑" w:eastAsia="微软雅黑" w:cs="微软雅黑"/>
          <w:color w:val="auto"/>
          <w:shd w:val="clear" w:color="auto" w:fill="FFFFFF"/>
        </w:rPr>
        <w:t>3.6.校企合作双元育人</w:t>
      </w:r>
      <w:bookmarkEnd w:id="17"/>
      <w:r>
        <w:rPr>
          <w:rFonts w:hint="eastAsia" w:ascii="微软雅黑" w:hAnsi="微软雅黑" w:eastAsia="微软雅黑" w:cs="微软雅黑"/>
          <w:color w:val="auto"/>
          <w:shd w:val="clear" w:color="auto" w:fill="FFFFFF"/>
          <w:lang w:eastAsia="zh-CN"/>
        </w:rPr>
        <w:t>。</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加强校企深度合作，全面提高育人质量。在加强校内实训基地建设的同时，我们十分注重校外实习就业基地建设。学校利用自身的办学优势，根据学校专业建设和学生就业需要，与计算机生产、组装等企业联系共建校外实习就业基地。</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学校致力于拓宽校企合作渠道和范围，创新校企合作模式，建立校内外实习实训基地，为学生建立了良好的实习实训平台和就业渠道。</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学校有集实验、实训、演示于一体面积约</w:t>
      </w:r>
      <w:r>
        <w:rPr>
          <w:rFonts w:hint="eastAsia" w:ascii="微软雅黑" w:hAnsi="微软雅黑" w:eastAsia="微软雅黑" w:cs="微软雅黑"/>
          <w:color w:val="auto"/>
          <w:shd w:val="clear" w:color="auto" w:fill="FFFFFF"/>
          <w:lang w:val="en-US" w:eastAsia="zh-CN"/>
        </w:rPr>
        <w:t>20</w:t>
      </w:r>
      <w:r>
        <w:rPr>
          <w:rFonts w:hint="eastAsia" w:ascii="微软雅黑" w:hAnsi="微软雅黑" w:eastAsia="微软雅黑" w:cs="微软雅黑"/>
          <w:color w:val="auto"/>
          <w:shd w:val="clear" w:color="auto" w:fill="FFFFFF"/>
        </w:rPr>
        <w:t>0多平方米的多功能实训中心，在长三角洲建有长期校外实践教学基地，与仁宝电子科技（昆山）有限公司和西安罹澜电子科技公司进行了实质性合作。通过校企合作，促进了学生理论学习与实践操作的有机结合，提高了学生实践操作能力和就业竞争力，为就业打好坚实的基础。</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18" w:name="_Toc14160"/>
      <w:r>
        <w:rPr>
          <w:rFonts w:hint="eastAsia" w:ascii="微软雅黑" w:hAnsi="微软雅黑" w:eastAsia="微软雅黑" w:cs="微软雅黑"/>
          <w:color w:val="auto"/>
          <w:shd w:val="clear" w:color="auto" w:fill="FFFFFF"/>
        </w:rPr>
        <w:t>3.7规范管理情况。</w:t>
      </w:r>
      <w:bookmarkEnd w:id="18"/>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学校不断完善了学校章程、教学管理、财务管理、后勤管理、食堂管理、安全管理等各项管理制度，形成了规范的管理体系。</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在教学管理上，学校采取全员参与并制定了《教学管理办法》《教师听评课制度》等一系列制度，坚持日常督查并采取措施认真落实，成效显著；在学生管理中，学校制定了《学生一日常规》《班主任工作职责》《学生综合考核与奖励制度》等制度。</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0"/>
        <w:rPr>
          <w:rFonts w:hint="eastAsia" w:ascii="微软雅黑" w:hAnsi="微软雅黑" w:eastAsia="微软雅黑" w:cs="微软雅黑"/>
          <w:color w:val="auto"/>
          <w:lang w:eastAsia="zh-CN"/>
        </w:rPr>
      </w:pPr>
      <w:bookmarkStart w:id="19" w:name="_Toc13346"/>
      <w:r>
        <w:rPr>
          <w:rFonts w:hint="eastAsia" w:ascii="微软雅黑" w:hAnsi="微软雅黑" w:eastAsia="微软雅黑" w:cs="微软雅黑"/>
          <w:color w:val="auto"/>
          <w:shd w:val="clear" w:color="auto" w:fill="FFFFFF"/>
        </w:rPr>
        <w:t>4.服务贡献质量</w:t>
      </w:r>
      <w:bookmarkEnd w:id="19"/>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20" w:name="_Toc27430"/>
      <w:r>
        <w:rPr>
          <w:rFonts w:hint="eastAsia" w:ascii="微软雅黑" w:hAnsi="微软雅黑" w:eastAsia="微软雅黑" w:cs="微软雅黑"/>
          <w:color w:val="auto"/>
          <w:shd w:val="clear" w:color="auto" w:fill="FFFFFF"/>
        </w:rPr>
        <w:t>4.1服务技术技能人才培养。</w:t>
      </w:r>
      <w:bookmarkEnd w:id="20"/>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以服务产业发展为宗旨，以促进就业为导向，坚持“多元化办学、科学化管理、市场化运作、亲情化服务”的办学思路，以创建精品专业为抓手，注重学校的品质、内涵、特色、创新发展，突出创新驱动，强化教学中心地位，着力培养学生综合职业能力和就业竞争力，努力把学校办出特色，不断提高用人单位的满意度。</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21" w:name="_Toc19677"/>
      <w:r>
        <w:rPr>
          <w:rFonts w:hint="eastAsia" w:ascii="微软雅黑" w:hAnsi="微软雅黑" w:eastAsia="微软雅黑" w:cs="微软雅黑"/>
          <w:color w:val="auto"/>
          <w:shd w:val="clear" w:color="auto" w:fill="FFFFFF"/>
        </w:rPr>
        <w:t>4.2服务地方发展。</w:t>
      </w:r>
      <w:bookmarkEnd w:id="21"/>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学校充分发挥职业教育的培训功能，服务地方发展。</w:t>
      </w: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在教书育人，培养为社会培养德才兼备人才的同时，不忘回馈社会，服务当地经济发展。2022年开展并完成</w:t>
      </w:r>
      <w:r>
        <w:rPr>
          <w:rFonts w:hint="eastAsia" w:ascii="微软雅黑" w:hAnsi="微软雅黑" w:eastAsia="微软雅黑" w:cs="微软雅黑"/>
          <w:color w:val="auto"/>
          <w:shd w:val="clear" w:color="auto" w:fill="FFFFFF"/>
          <w:lang w:eastAsia="zh-CN"/>
        </w:rPr>
        <w:t>临渭区</w:t>
      </w:r>
      <w:r>
        <w:rPr>
          <w:rFonts w:hint="eastAsia" w:ascii="微软雅黑" w:hAnsi="微软雅黑" w:eastAsia="微软雅黑" w:cs="微软雅黑"/>
          <w:color w:val="auto"/>
          <w:shd w:val="clear" w:color="auto" w:fill="FFFFFF"/>
        </w:rPr>
        <w:t>移民实用技术培训</w:t>
      </w:r>
      <w:r>
        <w:rPr>
          <w:rFonts w:hint="eastAsia" w:ascii="微软雅黑" w:hAnsi="微软雅黑" w:eastAsia="微软雅黑" w:cs="微软雅黑"/>
          <w:color w:val="auto"/>
          <w:shd w:val="clear" w:color="auto" w:fill="FFFFFF"/>
          <w:lang w:val="en-US" w:eastAsia="zh-CN"/>
        </w:rPr>
        <w:t>6</w:t>
      </w:r>
      <w:r>
        <w:rPr>
          <w:rFonts w:hint="eastAsia" w:ascii="微软雅黑" w:hAnsi="微软雅黑" w:eastAsia="微软雅黑" w:cs="微软雅黑"/>
          <w:color w:val="auto"/>
          <w:shd w:val="clear" w:color="auto" w:fill="FFFFFF"/>
        </w:rPr>
        <w:t>期，</w:t>
      </w:r>
      <w:r>
        <w:rPr>
          <w:rFonts w:hint="eastAsia" w:ascii="微软雅黑" w:hAnsi="微软雅黑" w:eastAsia="微软雅黑" w:cs="微软雅黑"/>
          <w:color w:val="auto"/>
          <w:shd w:val="clear" w:color="auto" w:fill="FFFFFF"/>
          <w:lang w:val="en-US" w:eastAsia="zh-CN"/>
        </w:rPr>
        <w:t>594</w:t>
      </w:r>
      <w:r>
        <w:rPr>
          <w:rFonts w:hint="eastAsia" w:ascii="微软雅黑" w:hAnsi="微软雅黑" w:eastAsia="微软雅黑" w:cs="微软雅黑"/>
          <w:color w:val="auto"/>
          <w:shd w:val="clear" w:color="auto" w:fill="FFFFFF"/>
        </w:rPr>
        <w:t>人次，有效的促进了移民</w:t>
      </w:r>
      <w:r>
        <w:rPr>
          <w:rFonts w:hint="eastAsia" w:ascii="微软雅黑" w:hAnsi="微软雅黑" w:eastAsia="微软雅黑" w:cs="微软雅黑"/>
          <w:color w:val="auto"/>
          <w:shd w:val="clear" w:color="auto" w:fill="FFFFFF"/>
          <w:lang w:eastAsia="zh-CN"/>
        </w:rPr>
        <w:t>群众</w:t>
      </w:r>
      <w:r>
        <w:rPr>
          <w:rFonts w:hint="eastAsia" w:ascii="微软雅黑" w:hAnsi="微软雅黑" w:eastAsia="微软雅黑" w:cs="微软雅黑"/>
          <w:color w:val="auto"/>
          <w:shd w:val="clear" w:color="auto" w:fill="FFFFFF"/>
        </w:rPr>
        <w:t>快速的安居乐业；渭南市残疾人初级保健按摩培训1期，20人</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有效的促进了盲人推拿按摩技术交流学习，提升盲人推拿按摩职业技能；其他知识技能培训</w:t>
      </w:r>
      <w:r>
        <w:rPr>
          <w:rFonts w:hint="eastAsia" w:ascii="微软雅黑" w:hAnsi="微软雅黑" w:eastAsia="微软雅黑" w:cs="微软雅黑"/>
          <w:color w:val="auto"/>
          <w:shd w:val="clear" w:color="auto" w:fill="FFFFFF"/>
          <w:lang w:val="en-US" w:eastAsia="zh-CN"/>
        </w:rPr>
        <w:t>1</w:t>
      </w:r>
      <w:r>
        <w:rPr>
          <w:rFonts w:hint="eastAsia" w:ascii="微软雅黑" w:hAnsi="微软雅黑" w:eastAsia="微软雅黑" w:cs="微软雅黑"/>
          <w:color w:val="auto"/>
          <w:shd w:val="clear" w:color="auto" w:fill="FFFFFF"/>
        </w:rPr>
        <w:t>42人次（保育员、园长、幼师等）。</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lang w:eastAsia="zh-CN"/>
        </w:rPr>
        <w:drawing>
          <wp:inline distT="0" distB="0" distL="114300" distR="114300">
            <wp:extent cx="4939665" cy="3343910"/>
            <wp:effectExtent l="0" t="0" r="13335" b="8890"/>
            <wp:docPr id="13" name="图片 13" descr="97ae33c65ec3bb53feb3ea9d4cfdc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97ae33c65ec3bb53feb3ea9d4cfdcf7"/>
                    <pic:cNvPicPr>
                      <a:picLocks noChangeAspect="1"/>
                    </pic:cNvPicPr>
                  </pic:nvPicPr>
                  <pic:blipFill>
                    <a:blip r:embed="rId10"/>
                    <a:stretch>
                      <a:fillRect/>
                    </a:stretch>
                  </pic:blipFill>
                  <pic:spPr>
                    <a:xfrm>
                      <a:off x="0" y="0"/>
                      <a:ext cx="4939665" cy="3343910"/>
                    </a:xfrm>
                    <a:prstGeom prst="rect">
                      <a:avLst/>
                    </a:prstGeom>
                  </pic:spPr>
                </pic:pic>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default" w:ascii="微软雅黑" w:hAnsi="微软雅黑" w:eastAsia="微软雅黑" w:cs="微软雅黑"/>
          <w:color w:val="auto"/>
          <w:sz w:val="21"/>
          <w:szCs w:val="21"/>
          <w:shd w:val="clear" w:color="auto" w:fill="FFFFFF"/>
          <w:lang w:val="en-US" w:eastAsia="zh-CN"/>
        </w:rPr>
      </w:pPr>
      <w:r>
        <w:rPr>
          <w:rFonts w:hint="eastAsia" w:ascii="微软雅黑" w:hAnsi="微软雅黑" w:eastAsia="微软雅黑" w:cs="微软雅黑"/>
          <w:color w:val="auto"/>
          <w:sz w:val="21"/>
          <w:szCs w:val="21"/>
          <w:shd w:val="clear" w:color="auto" w:fill="FFFFFF"/>
          <w:lang w:eastAsia="zh-CN"/>
        </w:rPr>
        <w:t>图</w:t>
      </w:r>
      <w:r>
        <w:rPr>
          <w:rFonts w:hint="eastAsia" w:ascii="微软雅黑" w:hAnsi="微软雅黑" w:eastAsia="微软雅黑" w:cs="微软雅黑"/>
          <w:color w:val="auto"/>
          <w:sz w:val="21"/>
          <w:szCs w:val="21"/>
          <w:shd w:val="clear" w:color="auto" w:fill="FFFFFF"/>
          <w:lang w:val="en-US" w:eastAsia="zh-CN"/>
        </w:rPr>
        <w:t xml:space="preserve">1.7 </w:t>
      </w:r>
      <w:r>
        <w:rPr>
          <w:rFonts w:hint="eastAsia" w:ascii="微软雅黑" w:hAnsi="微软雅黑" w:eastAsia="微软雅黑" w:cs="微软雅黑"/>
          <w:color w:val="auto"/>
          <w:sz w:val="21"/>
          <w:szCs w:val="21"/>
          <w:shd w:val="clear" w:color="auto" w:fill="FFFFFF"/>
        </w:rPr>
        <w:t>渭南市残疾人初级保健按摩培训</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22" w:name="_Toc9699"/>
      <w:r>
        <w:rPr>
          <w:rFonts w:hint="eastAsia" w:ascii="微软雅黑" w:hAnsi="微软雅黑" w:eastAsia="微软雅黑" w:cs="微软雅黑"/>
          <w:color w:val="auto"/>
          <w:shd w:val="clear" w:color="auto" w:fill="FFFFFF"/>
        </w:rPr>
        <w:t>4.3具有本校特色服务</w:t>
      </w:r>
      <w:r>
        <w:rPr>
          <w:rFonts w:hint="eastAsia" w:ascii="微软雅黑" w:hAnsi="微软雅黑" w:eastAsia="微软雅黑" w:cs="微软雅黑"/>
          <w:color w:val="auto"/>
          <w:shd w:val="clear" w:color="auto" w:fill="FFFFFF"/>
          <w:lang w:eastAsia="zh-CN"/>
        </w:rPr>
        <w:t>。</w:t>
      </w:r>
      <w:bookmarkEnd w:id="22"/>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随着办公自动化的迅速普及，各个企事业单位都离不开计算机的应用，这就为新就业者或专业军人就业提出了必备</w:t>
      </w:r>
      <w:r>
        <w:rPr>
          <w:rFonts w:hint="eastAsia" w:ascii="微软雅黑" w:hAnsi="微软雅黑" w:eastAsia="微软雅黑" w:cs="微软雅黑"/>
          <w:color w:val="auto"/>
          <w:shd w:val="clear" w:color="auto" w:fill="FFFFFF"/>
          <w:lang w:eastAsia="zh-CN"/>
        </w:rPr>
        <w:t>的</w:t>
      </w:r>
      <w:r>
        <w:rPr>
          <w:rFonts w:hint="eastAsia" w:ascii="微软雅黑" w:hAnsi="微软雅黑" w:eastAsia="微软雅黑" w:cs="微软雅黑"/>
          <w:color w:val="auto"/>
          <w:shd w:val="clear" w:color="auto" w:fill="FFFFFF"/>
        </w:rPr>
        <w:t>就业技能培训要求，而计算机应用正是</w:t>
      </w: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的专业特长。充分发挥学校特色</w:t>
      </w: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承接了“渭南市退役军人事务局2022年渭南市就业创业工作业务培训”、“2022年渭南市移交安置和军休服务管理工作业务培训”，为我市培训退役军人、干部</w:t>
      </w:r>
      <w:r>
        <w:rPr>
          <w:rFonts w:hint="eastAsia" w:ascii="微软雅黑" w:hAnsi="微软雅黑" w:eastAsia="微软雅黑" w:cs="微软雅黑"/>
          <w:color w:val="auto"/>
          <w:shd w:val="clear" w:color="auto" w:fill="FFFFFF"/>
          <w:lang w:val="en-US" w:eastAsia="zh-CN"/>
        </w:rPr>
        <w:t>150</w:t>
      </w:r>
      <w:r>
        <w:rPr>
          <w:rFonts w:hint="eastAsia" w:ascii="微软雅黑" w:hAnsi="微软雅黑" w:eastAsia="微软雅黑" w:cs="微软雅黑"/>
          <w:color w:val="auto"/>
          <w:shd w:val="clear" w:color="auto" w:fill="FFFFFF"/>
        </w:rPr>
        <w:t>人。</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23" w:name="_Toc10498"/>
      <w:r>
        <w:rPr>
          <w:rFonts w:hint="eastAsia" w:ascii="微软雅黑" w:hAnsi="微软雅黑" w:eastAsia="微软雅黑" w:cs="微软雅黑"/>
          <w:color w:val="auto"/>
          <w:shd w:val="clear" w:color="auto" w:fill="FFFFFF"/>
        </w:rPr>
        <w:t>4.4服务乡村振兴。</w:t>
      </w:r>
      <w:bookmarkEnd w:id="23"/>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学校在致力于提高办学质量，提高学生就业升学能力的同时，积极响应党和</w:t>
      </w:r>
      <w:r>
        <w:rPr>
          <w:rFonts w:hint="eastAsia" w:ascii="微软雅黑" w:hAnsi="微软雅黑" w:eastAsia="微软雅黑" w:cs="微软雅黑"/>
          <w:color w:val="auto"/>
          <w:shd w:val="clear" w:color="auto" w:fill="FFFFFF"/>
          <w:lang w:eastAsia="zh-CN"/>
        </w:rPr>
        <w:t>政府</w:t>
      </w:r>
      <w:r>
        <w:rPr>
          <w:rFonts w:hint="eastAsia" w:ascii="微软雅黑" w:hAnsi="微软雅黑" w:eastAsia="微软雅黑" w:cs="微软雅黑"/>
          <w:color w:val="auto"/>
          <w:shd w:val="clear" w:color="auto" w:fill="FFFFFF"/>
        </w:rPr>
        <w:t>号召，发挥学校潜力，服务地方乡村振兴战略。2022年</w:t>
      </w: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在</w:t>
      </w:r>
      <w:r>
        <w:rPr>
          <w:rFonts w:hint="eastAsia" w:ascii="微软雅黑" w:hAnsi="微软雅黑" w:eastAsia="微软雅黑" w:cs="微软雅黑"/>
          <w:color w:val="auto"/>
          <w:shd w:val="clear" w:color="auto" w:fill="FFFFFF"/>
          <w:lang w:eastAsia="zh-CN"/>
        </w:rPr>
        <w:t>高新区、</w:t>
      </w:r>
      <w:r>
        <w:rPr>
          <w:rFonts w:hint="eastAsia" w:ascii="微软雅黑" w:hAnsi="微软雅黑" w:eastAsia="微软雅黑" w:cs="微软雅黑"/>
          <w:color w:val="auto"/>
          <w:shd w:val="clear" w:color="auto" w:fill="FFFFFF"/>
        </w:rPr>
        <w:t>临渭区城区周边、下邽镇、阳郭镇等地，承担</w:t>
      </w:r>
      <w:r>
        <w:rPr>
          <w:rFonts w:hint="eastAsia" w:ascii="微软雅黑" w:hAnsi="微软雅黑" w:eastAsia="微软雅黑" w:cs="微软雅黑"/>
          <w:color w:val="auto"/>
          <w:shd w:val="clear" w:color="auto" w:fill="FFFFFF"/>
          <w:lang w:eastAsia="zh-CN"/>
        </w:rPr>
        <w:t>农村</w:t>
      </w:r>
      <w:r>
        <w:rPr>
          <w:rFonts w:hint="eastAsia" w:ascii="微软雅黑" w:hAnsi="微软雅黑" w:eastAsia="微软雅黑" w:cs="微软雅黑"/>
          <w:color w:val="auto"/>
          <w:shd w:val="clear" w:color="auto" w:fill="FFFFFF"/>
        </w:rPr>
        <w:t>困难残疾人职业技能和实用技术培训</w:t>
      </w:r>
      <w:r>
        <w:rPr>
          <w:rFonts w:hint="eastAsia" w:ascii="微软雅黑" w:hAnsi="微软雅黑" w:eastAsia="微软雅黑" w:cs="微软雅黑"/>
          <w:color w:val="auto"/>
          <w:shd w:val="clear" w:color="auto" w:fill="FFFFFF"/>
          <w:lang w:val="en-US" w:eastAsia="zh-CN"/>
        </w:rPr>
        <w:t>4</w:t>
      </w:r>
      <w:r>
        <w:rPr>
          <w:rFonts w:hint="eastAsia" w:ascii="微软雅黑" w:hAnsi="微软雅黑" w:eastAsia="微软雅黑" w:cs="微软雅黑"/>
          <w:color w:val="auto"/>
          <w:shd w:val="clear" w:color="auto" w:fill="FFFFFF"/>
        </w:rPr>
        <w:t>期，</w:t>
      </w:r>
      <w:r>
        <w:rPr>
          <w:rFonts w:hint="eastAsia" w:ascii="微软雅黑" w:hAnsi="微软雅黑" w:eastAsia="微软雅黑" w:cs="微软雅黑"/>
          <w:color w:val="auto"/>
          <w:shd w:val="clear" w:color="auto" w:fill="FFFFFF"/>
          <w:lang w:val="en-US" w:eastAsia="zh-CN"/>
        </w:rPr>
        <w:t>202</w:t>
      </w:r>
      <w:r>
        <w:rPr>
          <w:rFonts w:hint="eastAsia" w:ascii="微软雅黑" w:hAnsi="微软雅黑" w:eastAsia="微软雅黑" w:cs="微软雅黑"/>
          <w:color w:val="auto"/>
          <w:shd w:val="clear" w:color="auto" w:fill="FFFFFF"/>
        </w:rPr>
        <w:t>人。通过</w:t>
      </w:r>
      <w:r>
        <w:rPr>
          <w:rFonts w:hint="eastAsia" w:ascii="微软雅黑" w:hAnsi="微软雅黑" w:eastAsia="微软雅黑" w:cs="微软雅黑"/>
          <w:color w:val="auto"/>
          <w:shd w:val="clear" w:color="auto" w:fill="FFFFFF"/>
          <w:lang w:eastAsia="zh-CN"/>
        </w:rPr>
        <w:t>高级电子商务师、农艺师</w:t>
      </w:r>
      <w:r>
        <w:rPr>
          <w:rFonts w:hint="eastAsia" w:ascii="微软雅黑" w:hAnsi="微软雅黑" w:eastAsia="微软雅黑" w:cs="微软雅黑"/>
          <w:color w:val="auto"/>
          <w:shd w:val="clear" w:color="auto" w:fill="FFFFFF"/>
        </w:rPr>
        <w:t>对</w:t>
      </w:r>
      <w:r>
        <w:rPr>
          <w:rFonts w:hint="eastAsia" w:ascii="微软雅黑" w:hAnsi="微软雅黑" w:eastAsia="微软雅黑" w:cs="微软雅黑"/>
          <w:color w:val="auto"/>
          <w:shd w:val="clear" w:color="auto" w:fill="FFFFFF"/>
          <w:lang w:eastAsia="zh-CN"/>
        </w:rPr>
        <w:t>残疾人</w:t>
      </w:r>
      <w:r>
        <w:rPr>
          <w:rFonts w:hint="eastAsia" w:ascii="微软雅黑" w:hAnsi="微软雅黑" w:eastAsia="微软雅黑" w:cs="微软雅黑"/>
          <w:color w:val="auto"/>
          <w:shd w:val="clear" w:color="auto" w:fill="FFFFFF"/>
        </w:rPr>
        <w:t>进行</w:t>
      </w:r>
      <w:r>
        <w:rPr>
          <w:rFonts w:hint="eastAsia" w:ascii="微软雅黑" w:hAnsi="微软雅黑" w:eastAsia="微软雅黑" w:cs="微软雅黑"/>
          <w:color w:val="auto"/>
          <w:shd w:val="clear" w:color="auto" w:fill="FFFFFF"/>
          <w:lang w:eastAsia="zh-CN"/>
        </w:rPr>
        <w:t>电子商务、</w:t>
      </w:r>
      <w:r>
        <w:rPr>
          <w:rFonts w:hint="eastAsia" w:ascii="微软雅黑" w:hAnsi="微软雅黑" w:eastAsia="微软雅黑" w:cs="微软雅黑"/>
          <w:color w:val="auto"/>
          <w:shd w:val="clear" w:color="auto" w:fill="FFFFFF"/>
        </w:rPr>
        <w:t>果树</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栽培</w:t>
      </w:r>
      <w:r>
        <w:rPr>
          <w:rFonts w:hint="eastAsia" w:ascii="微软雅黑" w:hAnsi="微软雅黑" w:eastAsia="微软雅黑" w:cs="微软雅黑"/>
          <w:color w:val="auto"/>
          <w:shd w:val="clear" w:color="auto" w:fill="FFFFFF"/>
          <w:lang w:eastAsia="zh-CN"/>
        </w:rPr>
        <w:t>等</w:t>
      </w:r>
      <w:r>
        <w:rPr>
          <w:rFonts w:hint="eastAsia" w:ascii="微软雅黑" w:hAnsi="微软雅黑" w:eastAsia="微软雅黑" w:cs="微软雅黑"/>
          <w:color w:val="auto"/>
          <w:shd w:val="clear" w:color="auto" w:fill="FFFFFF"/>
        </w:rPr>
        <w:t>技能培训，为</w:t>
      </w:r>
      <w:r>
        <w:rPr>
          <w:rFonts w:hint="eastAsia" w:ascii="微软雅黑" w:hAnsi="微软雅黑" w:eastAsia="微软雅黑" w:cs="微软雅黑"/>
          <w:color w:val="auto"/>
          <w:shd w:val="clear" w:color="auto" w:fill="FFFFFF"/>
          <w:lang w:eastAsia="zh-CN"/>
        </w:rPr>
        <w:t>促进残疾人就业创业，实现增收致富，</w:t>
      </w:r>
      <w:r>
        <w:rPr>
          <w:rFonts w:hint="eastAsia" w:ascii="微软雅黑" w:hAnsi="微软雅黑" w:eastAsia="微软雅黑" w:cs="微软雅黑"/>
          <w:color w:val="auto"/>
          <w:shd w:val="clear" w:color="auto" w:fill="FFFFFF"/>
        </w:rPr>
        <w:t>助力乡村振兴</w:t>
      </w:r>
      <w:r>
        <w:rPr>
          <w:rFonts w:hint="eastAsia" w:ascii="微软雅黑" w:hAnsi="微软雅黑" w:eastAsia="微软雅黑" w:cs="微软雅黑"/>
          <w:color w:val="auto"/>
          <w:shd w:val="clear" w:color="auto" w:fill="FFFFFF"/>
          <w:lang w:eastAsia="zh-CN"/>
        </w:rPr>
        <w:t>做出了</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line="240" w:lineRule="atLeast"/>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lang w:eastAsia="zh-CN"/>
        </w:rPr>
        <w:t>积极贡献</w:t>
      </w:r>
      <w:r>
        <w:rPr>
          <w:rFonts w:hint="eastAsia" w:ascii="微软雅黑" w:hAnsi="微软雅黑" w:eastAsia="微软雅黑" w:cs="微软雅黑"/>
          <w:color w:val="auto"/>
          <w:shd w:val="clear" w:color="auto" w:fill="FFFFFF"/>
        </w:rPr>
        <w:t>。</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line="240" w:lineRule="atLeast"/>
        <w:jc w:val="center"/>
        <w:textAlignment w:val="auto"/>
        <w:rPr>
          <w:rFonts w:hint="eastAsia" w:ascii="微软雅黑" w:hAnsi="微软雅黑" w:eastAsia="微软雅黑" w:cs="微软雅黑"/>
          <w:color w:val="auto"/>
          <w:sz w:val="21"/>
          <w:szCs w:val="21"/>
          <w:shd w:val="clear" w:color="auto" w:fill="FFFFFF"/>
          <w:lang w:eastAsia="zh-CN"/>
        </w:rPr>
      </w:pPr>
      <w:r>
        <w:rPr>
          <w:rFonts w:hint="eastAsia" w:ascii="微软雅黑" w:hAnsi="微软雅黑" w:eastAsia="微软雅黑" w:cs="微软雅黑"/>
          <w:color w:val="auto"/>
          <w:sz w:val="21"/>
          <w:szCs w:val="21"/>
          <w:shd w:val="clear" w:color="auto" w:fill="FFFFFF"/>
          <w:lang w:eastAsia="zh-CN"/>
        </w:rPr>
        <w:drawing>
          <wp:inline distT="0" distB="0" distL="114300" distR="114300">
            <wp:extent cx="4939030" cy="3343910"/>
            <wp:effectExtent l="0" t="0" r="13970" b="8890"/>
            <wp:docPr id="14" name="图片 14" descr="a5afd365262ffa39d5541559c9d7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a5afd365262ffa39d5541559c9d7813"/>
                    <pic:cNvPicPr>
                      <a:picLocks noChangeAspect="1"/>
                    </pic:cNvPicPr>
                  </pic:nvPicPr>
                  <pic:blipFill>
                    <a:blip r:embed="rId11"/>
                    <a:stretch>
                      <a:fillRect/>
                    </a:stretch>
                  </pic:blipFill>
                  <pic:spPr>
                    <a:xfrm>
                      <a:off x="0" y="0"/>
                      <a:ext cx="4939030" cy="3343910"/>
                    </a:xfrm>
                    <a:prstGeom prst="rect">
                      <a:avLst/>
                    </a:prstGeom>
                  </pic:spPr>
                </pic:pic>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line="240" w:lineRule="atLeast"/>
        <w:jc w:val="center"/>
        <w:textAlignment w:val="auto"/>
        <w:rPr>
          <w:rFonts w:hint="eastAsia" w:ascii="微软雅黑" w:hAnsi="微软雅黑" w:eastAsia="微软雅黑" w:cs="微软雅黑"/>
          <w:color w:val="auto"/>
          <w:sz w:val="21"/>
          <w:szCs w:val="21"/>
          <w:shd w:val="clear" w:color="auto" w:fill="FFFFFF"/>
        </w:rPr>
      </w:pPr>
      <w:r>
        <w:rPr>
          <w:rFonts w:hint="eastAsia" w:ascii="微软雅黑" w:hAnsi="微软雅黑" w:eastAsia="微软雅黑" w:cs="微软雅黑"/>
          <w:color w:val="auto"/>
          <w:sz w:val="21"/>
          <w:szCs w:val="21"/>
          <w:shd w:val="clear" w:color="auto" w:fill="FFFFFF"/>
          <w:lang w:eastAsia="zh-CN"/>
        </w:rPr>
        <w:t>图</w:t>
      </w:r>
      <w:r>
        <w:rPr>
          <w:rFonts w:hint="eastAsia" w:ascii="微软雅黑" w:hAnsi="微软雅黑" w:eastAsia="微软雅黑" w:cs="微软雅黑"/>
          <w:color w:val="auto"/>
          <w:sz w:val="21"/>
          <w:szCs w:val="21"/>
          <w:shd w:val="clear" w:color="auto" w:fill="FFFFFF"/>
          <w:lang w:val="en-US" w:eastAsia="zh-CN"/>
        </w:rPr>
        <w:t xml:space="preserve">1.8 </w:t>
      </w:r>
      <w:r>
        <w:rPr>
          <w:rFonts w:hint="eastAsia" w:ascii="微软雅黑" w:hAnsi="微软雅黑" w:eastAsia="微软雅黑" w:cs="微软雅黑"/>
          <w:color w:val="auto"/>
          <w:sz w:val="21"/>
          <w:szCs w:val="21"/>
          <w:shd w:val="clear" w:color="auto" w:fill="FFFFFF"/>
        </w:rPr>
        <w:t>残疾人实用技术培训</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line="240" w:lineRule="atLeast"/>
        <w:jc w:val="center"/>
        <w:textAlignment w:val="auto"/>
        <w:rPr>
          <w:rFonts w:hint="eastAsia" w:ascii="微软雅黑" w:hAnsi="微软雅黑" w:eastAsia="微软雅黑" w:cs="微软雅黑"/>
          <w:color w:val="auto"/>
          <w:sz w:val="21"/>
          <w:szCs w:val="21"/>
          <w:shd w:val="clear" w:color="auto" w:fill="FFFFFF"/>
          <w:lang w:val="en-US" w:eastAsia="zh-CN"/>
        </w:rPr>
      </w:pPr>
      <w:r>
        <w:rPr>
          <w:rFonts w:hint="eastAsia" w:ascii="微软雅黑" w:hAnsi="微软雅黑" w:eastAsia="微软雅黑" w:cs="微软雅黑"/>
          <w:color w:val="auto"/>
          <w:shd w:val="clear" w:color="auto" w:fill="FFFFFF"/>
          <w:lang w:eastAsia="zh-CN"/>
        </w:rPr>
        <w:drawing>
          <wp:inline distT="0" distB="0" distL="114300" distR="114300">
            <wp:extent cx="4940935" cy="3828415"/>
            <wp:effectExtent l="0" t="0" r="12065" b="635"/>
            <wp:docPr id="7" name="图片 7" descr="2643fa75eb92ad1825a3012524b38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2643fa75eb92ad1825a3012524b38c5"/>
                    <pic:cNvPicPr>
                      <a:picLocks noChangeAspect="1"/>
                    </pic:cNvPicPr>
                  </pic:nvPicPr>
                  <pic:blipFill>
                    <a:blip r:embed="rId12"/>
                    <a:stretch>
                      <a:fillRect/>
                    </a:stretch>
                  </pic:blipFill>
                  <pic:spPr>
                    <a:xfrm>
                      <a:off x="0" y="0"/>
                      <a:ext cx="4940935" cy="3828415"/>
                    </a:xfrm>
                    <a:prstGeom prst="rect">
                      <a:avLst/>
                    </a:prstGeom>
                  </pic:spPr>
                </pic:pic>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default" w:ascii="微软雅黑" w:hAnsi="微软雅黑" w:eastAsia="微软雅黑" w:cs="微软雅黑"/>
          <w:color w:val="auto"/>
          <w:sz w:val="21"/>
          <w:szCs w:val="21"/>
          <w:shd w:val="clear" w:color="auto" w:fill="FFFFFF"/>
          <w:lang w:val="en-US" w:eastAsia="zh-CN"/>
        </w:rPr>
      </w:pPr>
      <w:r>
        <w:rPr>
          <w:rFonts w:hint="eastAsia" w:ascii="微软雅黑" w:hAnsi="微软雅黑" w:eastAsia="微软雅黑" w:cs="微软雅黑"/>
          <w:color w:val="auto"/>
          <w:sz w:val="21"/>
          <w:szCs w:val="21"/>
          <w:shd w:val="clear" w:color="auto" w:fill="FFFFFF"/>
          <w:lang w:val="en-US" w:eastAsia="zh-CN"/>
        </w:rPr>
        <w:t>图1.9</w:t>
      </w:r>
      <w:r>
        <w:rPr>
          <w:rFonts w:hint="eastAsia" w:ascii="微软雅黑" w:hAnsi="微软雅黑" w:eastAsia="微软雅黑" w:cs="微软雅黑"/>
          <w:color w:val="auto"/>
          <w:sz w:val="21"/>
          <w:szCs w:val="21"/>
          <w:shd w:val="clear" w:color="auto" w:fill="FFFFFF"/>
        </w:rPr>
        <w:t>残疾人果树栽培技能培训</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0"/>
        <w:rPr>
          <w:rFonts w:ascii="微软雅黑" w:hAnsi="微软雅黑" w:eastAsia="微软雅黑" w:cs="微软雅黑"/>
          <w:color w:val="auto"/>
        </w:rPr>
      </w:pPr>
      <w:bookmarkStart w:id="24" w:name="_Toc6915"/>
      <w:r>
        <w:rPr>
          <w:rFonts w:hint="eastAsia" w:ascii="微软雅黑" w:hAnsi="微软雅黑" w:eastAsia="微软雅黑" w:cs="微软雅黑"/>
          <w:color w:val="auto"/>
          <w:shd w:val="clear" w:color="auto" w:fill="FFFFFF"/>
        </w:rPr>
        <w:t>5</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政策落实质量</w:t>
      </w:r>
      <w:bookmarkEnd w:id="24"/>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25" w:name="_Toc8469"/>
      <w:r>
        <w:rPr>
          <w:rFonts w:hint="eastAsia" w:ascii="微软雅黑" w:hAnsi="微软雅黑" w:eastAsia="微软雅黑" w:cs="微软雅黑"/>
          <w:color w:val="auto"/>
          <w:shd w:val="clear" w:color="auto" w:fill="FFFFFF"/>
        </w:rPr>
        <w:t>5.1国家政策措施。</w:t>
      </w:r>
      <w:bookmarkEnd w:id="25"/>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学校严格落实国家</w:t>
      </w:r>
      <w:r>
        <w:rPr>
          <w:rFonts w:hint="eastAsia" w:ascii="微软雅黑" w:hAnsi="微软雅黑" w:eastAsia="微软雅黑" w:cs="微软雅黑"/>
          <w:color w:val="auto"/>
          <w:shd w:val="clear" w:color="auto" w:fill="FFFFFF"/>
          <w:lang w:eastAsia="zh-CN"/>
        </w:rPr>
        <w:t>免学费和学校奖、助学金</w:t>
      </w:r>
      <w:r>
        <w:rPr>
          <w:rFonts w:hint="eastAsia" w:ascii="微软雅黑" w:hAnsi="微软雅黑" w:eastAsia="微软雅黑" w:cs="微软雅黑"/>
          <w:color w:val="auto"/>
          <w:shd w:val="clear" w:color="auto" w:fill="FFFFFF"/>
        </w:rPr>
        <w:t>政策，2022年对</w:t>
      </w:r>
      <w:r>
        <w:rPr>
          <w:rFonts w:hint="eastAsia" w:ascii="微软雅黑" w:hAnsi="微软雅黑" w:eastAsia="微软雅黑" w:cs="微软雅黑"/>
          <w:color w:val="auto"/>
          <w:shd w:val="clear" w:color="auto" w:fill="FFFFFF"/>
          <w:lang w:eastAsia="zh-CN"/>
        </w:rPr>
        <w:t>困难家庭</w:t>
      </w:r>
      <w:r>
        <w:rPr>
          <w:rFonts w:hint="eastAsia" w:ascii="微软雅黑" w:hAnsi="微软雅黑" w:eastAsia="微软雅黑" w:cs="微软雅黑"/>
          <w:color w:val="auto"/>
          <w:shd w:val="clear" w:color="auto" w:fill="FFFFFF"/>
        </w:rPr>
        <w:t>学生继续享受免学费和中职资助政策，一年来，累计免学费</w:t>
      </w:r>
      <w:r>
        <w:rPr>
          <w:rFonts w:hint="eastAsia" w:ascii="微软雅黑" w:hAnsi="微软雅黑" w:eastAsia="微软雅黑" w:cs="微软雅黑"/>
          <w:color w:val="auto"/>
          <w:highlight w:val="none"/>
          <w:shd w:val="clear" w:color="auto" w:fill="FFFFFF"/>
          <w:lang w:val="en-US" w:eastAsia="zh-CN"/>
        </w:rPr>
        <w:t>324</w:t>
      </w:r>
      <w:r>
        <w:rPr>
          <w:rFonts w:hint="eastAsia" w:ascii="微软雅黑" w:hAnsi="微软雅黑" w:eastAsia="微软雅黑" w:cs="微软雅黑"/>
          <w:color w:val="auto"/>
          <w:highlight w:val="none"/>
          <w:shd w:val="clear" w:color="auto" w:fill="FFFFFF"/>
        </w:rPr>
        <w:t>人次，</w:t>
      </w:r>
      <w:r>
        <w:rPr>
          <w:rFonts w:hint="eastAsia" w:ascii="微软雅黑" w:hAnsi="微软雅黑" w:eastAsia="微软雅黑" w:cs="微软雅黑"/>
          <w:color w:val="auto"/>
          <w:highlight w:val="none"/>
          <w:shd w:val="clear" w:color="auto" w:fill="FFFFFF"/>
          <w:lang w:val="en-US" w:eastAsia="zh-CN"/>
        </w:rPr>
        <w:t>25.92</w:t>
      </w:r>
      <w:r>
        <w:rPr>
          <w:rFonts w:hint="eastAsia" w:ascii="微软雅黑" w:hAnsi="微软雅黑" w:eastAsia="微软雅黑" w:cs="微软雅黑"/>
          <w:color w:val="auto"/>
          <w:shd w:val="clear" w:color="auto" w:fill="FFFFFF"/>
        </w:rPr>
        <w:t>万元；享受校内奖助学金</w:t>
      </w:r>
      <w:r>
        <w:rPr>
          <w:rFonts w:hint="eastAsia" w:ascii="微软雅黑" w:hAnsi="微软雅黑" w:eastAsia="微软雅黑" w:cs="微软雅黑"/>
          <w:color w:val="auto"/>
          <w:shd w:val="clear" w:color="auto" w:fill="FFFFFF"/>
          <w:lang w:val="en-US" w:eastAsia="zh-CN"/>
        </w:rPr>
        <w:t>330</w:t>
      </w:r>
      <w:r>
        <w:rPr>
          <w:rFonts w:hint="eastAsia" w:ascii="微软雅黑" w:hAnsi="微软雅黑" w:eastAsia="微软雅黑" w:cs="微软雅黑"/>
          <w:color w:val="auto"/>
          <w:shd w:val="clear" w:color="auto" w:fill="FFFFFF"/>
        </w:rPr>
        <w:t>人次，</w:t>
      </w:r>
      <w:r>
        <w:rPr>
          <w:rFonts w:hint="eastAsia" w:ascii="微软雅黑" w:hAnsi="微软雅黑" w:eastAsia="微软雅黑" w:cs="微软雅黑"/>
          <w:color w:val="auto"/>
          <w:shd w:val="clear" w:color="auto" w:fill="FFFFFF"/>
          <w:lang w:val="en-US" w:eastAsia="zh-CN"/>
        </w:rPr>
        <w:t>19.8</w:t>
      </w:r>
      <w:r>
        <w:rPr>
          <w:rFonts w:hint="eastAsia" w:ascii="微软雅黑" w:hAnsi="微软雅黑" w:eastAsia="微软雅黑" w:cs="微软雅黑"/>
          <w:color w:val="auto"/>
          <w:shd w:val="clear" w:color="auto" w:fill="FFFFFF"/>
        </w:rPr>
        <w:t>万元；享受国家助学金</w:t>
      </w:r>
      <w:r>
        <w:rPr>
          <w:rFonts w:hint="eastAsia" w:ascii="微软雅黑" w:hAnsi="微软雅黑" w:eastAsia="微软雅黑" w:cs="微软雅黑"/>
          <w:color w:val="auto"/>
          <w:shd w:val="clear" w:color="auto" w:fill="FFFFFF"/>
          <w:lang w:val="en-US" w:eastAsia="zh-CN"/>
        </w:rPr>
        <w:t>70</w:t>
      </w:r>
      <w:r>
        <w:rPr>
          <w:rFonts w:hint="eastAsia" w:ascii="微软雅黑" w:hAnsi="微软雅黑" w:eastAsia="微软雅黑" w:cs="微软雅黑"/>
          <w:color w:val="auto"/>
          <w:shd w:val="clear" w:color="auto" w:fill="FFFFFF"/>
        </w:rPr>
        <w:t>人次，</w:t>
      </w:r>
      <w:r>
        <w:rPr>
          <w:rFonts w:hint="eastAsia" w:ascii="微软雅黑" w:hAnsi="微软雅黑" w:eastAsia="微软雅黑" w:cs="微软雅黑"/>
          <w:color w:val="auto"/>
          <w:shd w:val="clear" w:color="auto" w:fill="FFFFFF"/>
          <w:lang w:val="en-US" w:eastAsia="zh-CN"/>
        </w:rPr>
        <w:t>7</w:t>
      </w:r>
      <w:r>
        <w:rPr>
          <w:rFonts w:hint="eastAsia" w:ascii="微软雅黑" w:hAnsi="微软雅黑" w:eastAsia="微软雅黑" w:cs="微软雅黑"/>
          <w:color w:val="auto"/>
          <w:shd w:val="clear" w:color="auto" w:fill="FFFFFF"/>
        </w:rPr>
        <w:t>万元；在教育控固脱贫成果过程中，对</w:t>
      </w:r>
      <w:r>
        <w:rPr>
          <w:rFonts w:hint="eastAsia" w:ascii="微软雅黑" w:hAnsi="微软雅黑" w:eastAsia="微软雅黑" w:cs="微软雅黑"/>
          <w:color w:val="auto"/>
          <w:shd w:val="clear" w:color="auto" w:fill="FFFFFF"/>
          <w:lang w:val="en-US" w:eastAsia="zh-CN"/>
        </w:rPr>
        <w:t>19</w:t>
      </w:r>
      <w:r>
        <w:rPr>
          <w:rFonts w:hint="eastAsia" w:ascii="微软雅黑" w:hAnsi="微软雅黑" w:eastAsia="微软雅黑" w:cs="微软雅黑"/>
          <w:color w:val="auto"/>
          <w:shd w:val="clear" w:color="auto" w:fill="FFFFFF"/>
        </w:rPr>
        <w:t>名建档立卡脱贫学生进行师生结对帮扶，每次均有4名教师深入困难学生家庭进行走访慰问，了解和掌握学生家庭实际状况，控固教育脱贫成果。</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宋体" w:hAnsi="宋体" w:eastAsia="宋体" w:cs="宋体"/>
          <w:i w:val="0"/>
          <w:caps w:val="0"/>
          <w:color w:val="676A6C"/>
          <w:spacing w:val="0"/>
          <w:w w:val="90"/>
          <w:sz w:val="28"/>
          <w:szCs w:val="28"/>
          <w:shd w:val="clear" w:color="auto" w:fill="FFFFFF"/>
          <w:lang w:val="en-US" w:eastAsia="zh-CN"/>
        </w:rPr>
      </w:pPr>
      <w:r>
        <w:rPr>
          <w:rFonts w:hint="eastAsia" w:eastAsia="宋体"/>
          <w:b/>
          <w:bCs/>
          <w:sz w:val="36"/>
          <w:szCs w:val="44"/>
          <w:lang w:eastAsia="zh-CN"/>
        </w:rPr>
        <w:drawing>
          <wp:inline distT="0" distB="0" distL="114300" distR="114300">
            <wp:extent cx="4939030" cy="3599180"/>
            <wp:effectExtent l="0" t="0" r="13970" b="1270"/>
            <wp:docPr id="17" name="图片 3" descr="7c6c7d26051c98d940c8069c3ce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7c6c7d26051c98d940c8069c3ce3606"/>
                    <pic:cNvPicPr>
                      <a:picLocks noChangeAspect="1"/>
                    </pic:cNvPicPr>
                  </pic:nvPicPr>
                  <pic:blipFill>
                    <a:blip r:embed="rId13"/>
                    <a:srcRect b="9513"/>
                    <a:stretch>
                      <a:fillRect/>
                    </a:stretch>
                  </pic:blipFill>
                  <pic:spPr>
                    <a:xfrm>
                      <a:off x="0" y="0"/>
                      <a:ext cx="4939030" cy="3599180"/>
                    </a:xfrm>
                    <a:prstGeom prst="rect">
                      <a:avLst/>
                    </a:prstGeom>
                    <a:noFill/>
                    <a:ln>
                      <a:noFill/>
                    </a:ln>
                  </pic:spPr>
                </pic:pic>
              </a:graphicData>
            </a:graphic>
          </wp:inline>
        </w:drawing>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jc w:val="center"/>
        <w:textAlignment w:val="auto"/>
        <w:rPr>
          <w:rFonts w:hint="eastAsia" w:ascii="宋体" w:hAnsi="宋体" w:eastAsia="宋体" w:cs="宋体"/>
          <w:i w:val="0"/>
          <w:caps w:val="0"/>
          <w:color w:val="676A6C"/>
          <w:spacing w:val="0"/>
          <w:w w:val="90"/>
          <w:sz w:val="28"/>
          <w:szCs w:val="28"/>
          <w:shd w:val="clear" w:color="auto" w:fill="FFFFFF"/>
          <w:lang w:val="en-US" w:eastAsia="zh-CN"/>
        </w:rPr>
      </w:pPr>
      <w:r>
        <w:rPr>
          <w:rFonts w:hint="eastAsia" w:ascii="微软雅黑" w:hAnsi="微软雅黑" w:eastAsia="微软雅黑" w:cs="微软雅黑"/>
          <w:color w:val="auto"/>
          <w:sz w:val="21"/>
          <w:szCs w:val="21"/>
          <w:shd w:val="clear" w:color="auto" w:fill="FFFFFF"/>
          <w:lang w:val="en-US" w:eastAsia="zh-CN"/>
        </w:rPr>
        <w:t>图2.0走访慰问我校建档立卡贫困户家庭学生</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26" w:name="_Toc20491"/>
      <w:r>
        <w:rPr>
          <w:rFonts w:hint="eastAsia" w:ascii="微软雅黑" w:hAnsi="微软雅黑" w:eastAsia="微软雅黑" w:cs="微软雅黑"/>
          <w:color w:val="auto"/>
          <w:shd w:val="clear" w:color="auto" w:fill="FFFFFF"/>
        </w:rPr>
        <w:t>5.2地方政策落实</w:t>
      </w:r>
      <w:r>
        <w:rPr>
          <w:rFonts w:hint="eastAsia" w:ascii="微软雅黑" w:hAnsi="微软雅黑" w:eastAsia="微软雅黑" w:cs="微软雅黑"/>
          <w:color w:val="auto"/>
          <w:shd w:val="clear" w:color="auto" w:fill="FFFFFF"/>
          <w:lang w:eastAsia="zh-CN"/>
        </w:rPr>
        <w:t>。</w:t>
      </w:r>
      <w:bookmarkEnd w:id="26"/>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贯彻各级地方有关中职教育的</w:t>
      </w:r>
      <w:r>
        <w:rPr>
          <w:rFonts w:hint="eastAsia" w:ascii="微软雅黑" w:hAnsi="微软雅黑" w:eastAsia="微软雅黑" w:cs="微软雅黑"/>
          <w:color w:val="auto"/>
          <w:shd w:val="clear" w:color="auto" w:fill="FFFFFF"/>
          <w:lang w:eastAsia="zh-CN"/>
        </w:rPr>
        <w:t>相关</w:t>
      </w:r>
      <w:r>
        <w:rPr>
          <w:rFonts w:hint="eastAsia" w:ascii="微软雅黑" w:hAnsi="微软雅黑" w:eastAsia="微软雅黑" w:cs="微软雅黑"/>
          <w:color w:val="auto"/>
          <w:shd w:val="clear" w:color="auto" w:fill="FFFFFF"/>
        </w:rPr>
        <w:t>政策，2022年春季招生时，严格执行渭南市教育局</w:t>
      </w:r>
      <w:r>
        <w:rPr>
          <w:rFonts w:hint="eastAsia" w:ascii="微软雅黑" w:hAnsi="微软雅黑" w:eastAsia="微软雅黑" w:cs="微软雅黑"/>
          <w:color w:val="auto"/>
          <w:shd w:val="clear" w:color="auto" w:fill="FFFFFF"/>
          <w:lang w:eastAsia="zh-CN"/>
        </w:rPr>
        <w:t>转</w:t>
      </w:r>
      <w:r>
        <w:rPr>
          <w:rFonts w:hint="eastAsia" w:ascii="微软雅黑" w:hAnsi="微软雅黑" w:eastAsia="微软雅黑" w:cs="微软雅黑"/>
          <w:color w:val="auto"/>
          <w:shd w:val="clear" w:color="auto" w:fill="FFFFFF"/>
        </w:rPr>
        <w:t>发的为贯彻落实《国家职业教育改革实施方案》和中共中央办公</w:t>
      </w:r>
      <w:r>
        <w:rPr>
          <w:rFonts w:hint="eastAsia" w:ascii="微软雅黑" w:hAnsi="微软雅黑" w:eastAsia="微软雅黑" w:cs="微软雅黑"/>
          <w:color w:val="auto"/>
          <w:shd w:val="clear" w:color="auto" w:fill="FFFFFF"/>
          <w:lang w:eastAsia="zh-CN"/>
        </w:rPr>
        <w:t>厅</w:t>
      </w:r>
      <w:r>
        <w:rPr>
          <w:rFonts w:hint="eastAsia" w:ascii="微软雅黑" w:hAnsi="微软雅黑" w:eastAsia="微软雅黑" w:cs="微软雅黑"/>
          <w:color w:val="auto"/>
          <w:shd w:val="clear" w:color="auto" w:fill="FFFFFF"/>
        </w:rPr>
        <w:t>、国务院办公厅《关于推</w:t>
      </w:r>
      <w:bookmarkStart w:id="33" w:name="_GoBack"/>
      <w:bookmarkEnd w:id="33"/>
      <w:r>
        <w:rPr>
          <w:rFonts w:hint="eastAsia" w:ascii="微软雅黑" w:hAnsi="微软雅黑" w:eastAsia="微软雅黑" w:cs="微软雅黑"/>
          <w:color w:val="auto"/>
          <w:shd w:val="clear" w:color="auto" w:fill="FFFFFF"/>
        </w:rPr>
        <w:t>动现代职业教育高质量发展的意见》</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进一步巩固中等职业教育基础地位，落实高中阶段职普比大体相当的要求之规定，</w:t>
      </w:r>
      <w:r>
        <w:rPr>
          <w:rFonts w:hint="eastAsia" w:ascii="微软雅黑" w:hAnsi="微软雅黑" w:eastAsia="微软雅黑" w:cs="微软雅黑"/>
          <w:color w:val="auto"/>
          <w:shd w:val="clear" w:color="auto" w:fill="FFFFFF"/>
          <w:lang w:eastAsia="zh-CN"/>
        </w:rPr>
        <w:t>按照招生计划进行招生</w:t>
      </w:r>
      <w:r>
        <w:rPr>
          <w:rFonts w:hint="eastAsia" w:ascii="微软雅黑" w:hAnsi="微软雅黑" w:eastAsia="微软雅黑" w:cs="微软雅黑"/>
          <w:color w:val="auto"/>
          <w:shd w:val="clear" w:color="auto" w:fill="FFFFFF"/>
        </w:rPr>
        <w:t>。</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27" w:name="_Toc16213"/>
      <w:r>
        <w:rPr>
          <w:rFonts w:hint="eastAsia" w:ascii="微软雅黑" w:hAnsi="微软雅黑" w:eastAsia="微软雅黑" w:cs="微软雅黑"/>
          <w:color w:val="auto"/>
          <w:shd w:val="clear" w:color="auto" w:fill="FFFFFF"/>
        </w:rPr>
        <w:t>5.3学校治理</w:t>
      </w:r>
      <w:r>
        <w:rPr>
          <w:rFonts w:hint="eastAsia" w:ascii="微软雅黑" w:hAnsi="微软雅黑" w:eastAsia="微软雅黑" w:cs="微软雅黑"/>
          <w:color w:val="auto"/>
          <w:shd w:val="clear" w:color="auto" w:fill="FFFFFF"/>
          <w:lang w:eastAsia="zh-CN"/>
        </w:rPr>
        <w:t>。</w:t>
      </w:r>
      <w:bookmarkEnd w:id="27"/>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jc w:val="both"/>
        <w:textAlignment w:val="auto"/>
        <w:rPr>
          <w:rFonts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2022年学校成立了以校长为组长，办公室、教学</w:t>
      </w:r>
      <w:r>
        <w:rPr>
          <w:rFonts w:hint="eastAsia" w:ascii="微软雅黑" w:hAnsi="微软雅黑" w:eastAsia="微软雅黑" w:cs="微软雅黑"/>
          <w:color w:val="auto"/>
          <w:shd w:val="clear" w:color="auto" w:fill="FFFFFF"/>
          <w:lang w:eastAsia="zh-CN"/>
        </w:rPr>
        <w:t>处</w:t>
      </w:r>
      <w:r>
        <w:rPr>
          <w:rFonts w:hint="eastAsia" w:ascii="微软雅黑" w:hAnsi="微软雅黑" w:eastAsia="微软雅黑" w:cs="微软雅黑"/>
          <w:color w:val="auto"/>
          <w:shd w:val="clear" w:color="auto" w:fill="FFFFFF"/>
        </w:rPr>
        <w:t>、后勤</w:t>
      </w:r>
      <w:r>
        <w:rPr>
          <w:rFonts w:hint="eastAsia" w:ascii="微软雅黑" w:hAnsi="微软雅黑" w:eastAsia="微软雅黑" w:cs="微软雅黑"/>
          <w:color w:val="auto"/>
          <w:shd w:val="clear" w:color="auto" w:fill="FFFFFF"/>
          <w:lang w:eastAsia="zh-CN"/>
        </w:rPr>
        <w:t>处</w:t>
      </w:r>
      <w:r>
        <w:rPr>
          <w:rFonts w:hint="eastAsia" w:ascii="微软雅黑" w:hAnsi="微软雅黑" w:eastAsia="微软雅黑" w:cs="微软雅黑"/>
          <w:color w:val="auto"/>
          <w:shd w:val="clear" w:color="auto" w:fill="FFFFFF"/>
        </w:rPr>
        <w:t>为成员的学校治理工作专班，就办学行为问题逐条进行对照进行了全面认真自查，并从1.坚持职业教育办学方向；2.规范学籍和资助管理；3.加强专业设置管理；4.强化教材监管；5.深化教学改革；6.校园安全纪律等几个方面进行了治理。始终坚持以质量提升为目标，通过治理有效实施素质教育；以队伍建设为主线，释放学校治理中的关键力量；以校园文化建设为保障，为学校治理找到“凝聚因子”；并取得了良好的治理效果。</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28" w:name="_Toc32228"/>
      <w:r>
        <w:rPr>
          <w:rFonts w:hint="eastAsia" w:ascii="微软雅黑" w:hAnsi="微软雅黑" w:eastAsia="微软雅黑" w:cs="微软雅黑"/>
          <w:color w:val="auto"/>
          <w:shd w:val="clear" w:color="auto" w:fill="FFFFFF"/>
        </w:rPr>
        <w:t>5.4质量保证体系建设</w:t>
      </w:r>
      <w:r>
        <w:rPr>
          <w:rFonts w:hint="eastAsia" w:ascii="微软雅黑" w:hAnsi="微软雅黑" w:eastAsia="微软雅黑" w:cs="微软雅黑"/>
          <w:color w:val="auto"/>
          <w:shd w:val="clear" w:color="auto" w:fill="FFFFFF"/>
          <w:lang w:eastAsia="zh-CN"/>
        </w:rPr>
        <w:t>。</w:t>
      </w:r>
      <w:bookmarkEnd w:id="28"/>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jc w:val="both"/>
        <w:textAlignment w:val="auto"/>
        <w:rPr>
          <w:rFonts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保障专业教学质量是中等职业教育主动服务经济和社会，体现自身功能和特色、实现培养目标和实施教学活动的基础性工作，也是职业学校提高自身适应力、竞争力的重要途径。</w:t>
      </w:r>
      <w:r>
        <w:rPr>
          <w:rFonts w:hint="eastAsia" w:ascii="微软雅黑" w:hAnsi="微软雅黑" w:eastAsia="微软雅黑" w:cs="微软雅黑"/>
          <w:color w:val="auto"/>
          <w:shd w:val="clear" w:color="auto" w:fill="FFFFFF"/>
          <w:lang w:eastAsia="zh-CN"/>
        </w:rPr>
        <w:t>学校</w:t>
      </w:r>
      <w:r>
        <w:rPr>
          <w:rFonts w:hint="eastAsia" w:ascii="微软雅黑" w:hAnsi="微软雅黑" w:eastAsia="微软雅黑" w:cs="微软雅黑"/>
          <w:color w:val="auto"/>
          <w:shd w:val="clear" w:color="auto" w:fill="FFFFFF"/>
        </w:rPr>
        <w:t>通过制定的各种相关制度、规章、方法、程序和并将制度的贯彻落实到岗，到人，到每一项政策，并建立以校长为组长的领导机构，监督国家、地方各项政策落实到位，以确保政策贯彻的，并使之保证活动加以系统化、标准化及制度化。实现以制度管理人，以经济激励人，以纪律约束人，以成绩衡量人，以人保证教学质量的质量保证体系。</w:t>
      </w:r>
      <w:r>
        <w:rPr>
          <w:rFonts w:ascii="微软雅黑" w:hAnsi="微软雅黑" w:eastAsia="微软雅黑" w:cs="微软雅黑"/>
          <w:color w:val="auto"/>
          <w:shd w:val="clear" w:color="auto" w:fill="FFFFFF"/>
        </w:rPr>
        <w:t xml:space="preserve"> </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rPr>
      </w:pPr>
      <w:bookmarkStart w:id="29" w:name="_Toc23071"/>
      <w:r>
        <w:rPr>
          <w:rFonts w:hint="eastAsia" w:ascii="微软雅黑" w:hAnsi="微软雅黑" w:eastAsia="微软雅黑" w:cs="微软雅黑"/>
          <w:color w:val="auto"/>
          <w:shd w:val="clear" w:color="auto" w:fill="FFFFFF"/>
        </w:rPr>
        <w:t>5.5落实经费保障。</w:t>
      </w:r>
      <w:bookmarkEnd w:id="29"/>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学校有严格的《财务管理制度》，以加强经费投入、资金管理，保障教学设备设施购买、教职工工资奖金、学生生活住宿、教学后勤保障等日常开支。定期召开校长办公会、教职工代表大会等，对学校经费使用的情况进行公布和通报，保证财务公开透明，使广大教师及时了解学校经费使用情况。</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0"/>
        <w:rPr>
          <w:rFonts w:hint="eastAsia" w:ascii="微软雅黑" w:hAnsi="微软雅黑" w:eastAsia="微软雅黑" w:cs="微软雅黑"/>
          <w:color w:val="auto"/>
          <w:lang w:val="en-US" w:eastAsia="zh-CN"/>
        </w:rPr>
      </w:pPr>
      <w:bookmarkStart w:id="30" w:name="_Toc1576"/>
      <w:r>
        <w:rPr>
          <w:rFonts w:hint="eastAsia" w:ascii="微软雅黑" w:hAnsi="微软雅黑" w:eastAsia="微软雅黑" w:cs="微软雅黑"/>
          <w:color w:val="auto"/>
          <w:shd w:val="clear" w:color="auto" w:fill="FFFFFF"/>
          <w:lang w:val="en-US" w:eastAsia="zh-CN"/>
        </w:rPr>
        <w:t>6</w:t>
      </w:r>
      <w:r>
        <w:rPr>
          <w:rFonts w:hint="eastAsia" w:ascii="微软雅黑" w:hAnsi="微软雅黑" w:eastAsia="微软雅黑" w:cs="微软雅黑"/>
          <w:color w:val="auto"/>
          <w:shd w:val="clear" w:color="auto" w:fill="FFFFFF"/>
        </w:rPr>
        <w:t>.面临挑战和改进措施</w:t>
      </w:r>
      <w:bookmarkEnd w:id="30"/>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31" w:name="_Toc26257"/>
      <w:r>
        <w:rPr>
          <w:rFonts w:hint="eastAsia" w:ascii="微软雅黑" w:hAnsi="微软雅黑" w:eastAsia="微软雅黑" w:cs="微软雅黑"/>
          <w:color w:val="auto"/>
          <w:shd w:val="clear" w:color="auto" w:fill="FFFFFF"/>
          <w:lang w:val="en-US" w:eastAsia="zh-CN"/>
        </w:rPr>
        <w:t>6</w:t>
      </w:r>
      <w:r>
        <w:rPr>
          <w:rFonts w:hint="eastAsia" w:ascii="微软雅黑" w:hAnsi="微软雅黑" w:eastAsia="微软雅黑" w:cs="微软雅黑"/>
          <w:color w:val="auto"/>
          <w:shd w:val="clear" w:color="auto" w:fill="FFFFFF"/>
        </w:rPr>
        <w:t>.1面临挑战</w:t>
      </w:r>
      <w:r>
        <w:rPr>
          <w:rFonts w:hint="eastAsia" w:ascii="微软雅黑" w:hAnsi="微软雅黑" w:eastAsia="微软雅黑" w:cs="微软雅黑"/>
          <w:color w:val="auto"/>
          <w:shd w:val="clear" w:color="auto" w:fill="FFFFFF"/>
          <w:lang w:eastAsia="zh-CN"/>
        </w:rPr>
        <w:t>。</w:t>
      </w:r>
      <w:bookmarkEnd w:id="31"/>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lang w:val="en-US" w:eastAsia="zh-CN"/>
        </w:rPr>
      </w:pPr>
      <w:r>
        <w:rPr>
          <w:rFonts w:hint="eastAsia" w:ascii="微软雅黑" w:hAnsi="微软雅黑" w:eastAsia="微软雅黑" w:cs="微软雅黑"/>
          <w:color w:val="auto"/>
          <w:shd w:val="clear" w:color="auto" w:fill="FFFFFF"/>
        </w:rPr>
        <w:t>一是学校办学场地、建筑面积不足，不利于学校基础设施的布设，专业教学设施设备还有待补充加强，基础设施和专业设备的限制，使学校的吸引力不足，</w:t>
      </w:r>
      <w:r>
        <w:rPr>
          <w:rFonts w:hint="eastAsia" w:ascii="微软雅黑" w:hAnsi="微软雅黑" w:eastAsia="微软雅黑" w:cs="微软雅黑"/>
          <w:color w:val="auto"/>
          <w:shd w:val="clear" w:color="auto" w:fill="FFFFFF"/>
          <w:lang w:val="en-US" w:eastAsia="zh-CN"/>
        </w:rPr>
        <w:t>从根本上制约了学校的发展。</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二是专业师资质量有待进一步加强。学校目前教师队伍，虽然能够满足教学要求，但面对中职教育新变革、新机遇、新发展。面对新的挑战，如需进一步提高学生教学质量、就业竞争力，现有的师资力量在数量、质量、结构、能力水平等方面存在着不足，“双师型”师资队伍特别是各专业学科带头人建设还有待加强和提升。</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三是校企合作深度不够，校企合作双方在合作育人、合作发展等方面的融合程度不够，课程衔接存在不足，对学生社会实践、社会就业渠道存在着程度不等的限制。</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outlineLvl w:val="1"/>
        <w:rPr>
          <w:rFonts w:hint="eastAsia" w:ascii="微软雅黑" w:hAnsi="微软雅黑" w:eastAsia="微软雅黑" w:cs="微软雅黑"/>
          <w:color w:val="auto"/>
          <w:shd w:val="clear" w:color="auto" w:fill="FFFFFF"/>
          <w:lang w:eastAsia="zh-CN"/>
        </w:rPr>
      </w:pPr>
      <w:bookmarkStart w:id="32" w:name="_Toc25535"/>
      <w:r>
        <w:rPr>
          <w:rFonts w:hint="eastAsia" w:ascii="微软雅黑" w:hAnsi="微软雅黑" w:eastAsia="微软雅黑" w:cs="微软雅黑"/>
          <w:color w:val="auto"/>
          <w:shd w:val="clear" w:color="auto" w:fill="FFFFFF"/>
          <w:lang w:val="en-US" w:eastAsia="zh-CN"/>
        </w:rPr>
        <w:t>6</w:t>
      </w:r>
      <w:r>
        <w:rPr>
          <w:rFonts w:hint="eastAsia" w:ascii="微软雅黑" w:hAnsi="微软雅黑" w:eastAsia="微软雅黑" w:cs="微软雅黑"/>
          <w:color w:val="auto"/>
          <w:shd w:val="clear" w:color="auto" w:fill="FFFFFF"/>
        </w:rPr>
        <w:t>.2改进措施</w:t>
      </w:r>
      <w:r>
        <w:rPr>
          <w:rFonts w:hint="eastAsia" w:ascii="微软雅黑" w:hAnsi="微软雅黑" w:eastAsia="微软雅黑" w:cs="微软雅黑"/>
          <w:color w:val="auto"/>
          <w:shd w:val="clear" w:color="auto" w:fill="FFFFFF"/>
          <w:lang w:eastAsia="zh-CN"/>
        </w:rPr>
        <w:t>。</w:t>
      </w:r>
      <w:bookmarkEnd w:id="32"/>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一是加大投资力度，优化办学条件。学校争取</w:t>
      </w:r>
      <w:r>
        <w:rPr>
          <w:rFonts w:hint="eastAsia" w:ascii="微软雅黑" w:hAnsi="微软雅黑" w:eastAsia="微软雅黑" w:cs="微软雅黑"/>
          <w:color w:val="auto"/>
          <w:shd w:val="clear" w:color="auto" w:fill="FFFFFF"/>
          <w:lang w:eastAsia="zh-CN"/>
        </w:rPr>
        <w:t>各方面</w:t>
      </w:r>
      <w:r>
        <w:rPr>
          <w:rFonts w:hint="eastAsia" w:ascii="微软雅黑" w:hAnsi="微软雅黑" w:eastAsia="微软雅黑" w:cs="微软雅黑"/>
          <w:color w:val="auto"/>
          <w:shd w:val="clear" w:color="auto" w:fill="FFFFFF"/>
        </w:rPr>
        <w:t>支持，加大经费投入，拟于2023年春季将学校搬迁至筛选洽谈的新校址。同时投资改造校园办学条件，建设</w:t>
      </w:r>
      <w:r>
        <w:rPr>
          <w:rFonts w:hint="eastAsia" w:ascii="微软雅黑" w:hAnsi="微软雅黑" w:eastAsia="微软雅黑" w:cs="微软雅黑"/>
          <w:color w:val="auto"/>
          <w:shd w:val="clear" w:color="auto" w:fill="FFFFFF"/>
          <w:lang w:val="en-US" w:eastAsia="zh-CN"/>
        </w:rPr>
        <w:t>塑胶跑道</w:t>
      </w:r>
      <w:r>
        <w:rPr>
          <w:rFonts w:hint="eastAsia" w:ascii="微软雅黑" w:hAnsi="微软雅黑" w:eastAsia="微软雅黑" w:cs="微软雅黑"/>
          <w:color w:val="auto"/>
          <w:shd w:val="clear" w:color="auto" w:fill="FFFFFF"/>
        </w:rPr>
        <w:t>操场，改建学生实习实训场地，完善各功能部室等，为积极</w:t>
      </w:r>
      <w:r>
        <w:rPr>
          <w:rFonts w:hint="eastAsia" w:ascii="微软雅黑" w:hAnsi="微软雅黑" w:eastAsia="微软雅黑" w:cs="微软雅黑"/>
          <w:color w:val="auto"/>
          <w:shd w:val="clear" w:color="auto" w:fill="FFFFFF"/>
          <w:lang w:val="en-US" w:eastAsia="zh-CN"/>
        </w:rPr>
        <w:t>创建省级“双达标”学校而努力</w:t>
      </w:r>
      <w:r>
        <w:rPr>
          <w:rFonts w:hint="eastAsia" w:ascii="微软雅黑" w:hAnsi="微软雅黑" w:eastAsia="微软雅黑" w:cs="微软雅黑"/>
          <w:color w:val="auto"/>
          <w:shd w:val="clear" w:color="auto" w:fill="FFFFFF"/>
        </w:rPr>
        <w:t>。</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二是加大师资队伍建设力度</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拓宽专业教师来源渠道，</w:t>
      </w:r>
      <w:r>
        <w:rPr>
          <w:rFonts w:hint="eastAsia" w:ascii="微软雅黑" w:hAnsi="微软雅黑" w:eastAsia="微软雅黑" w:cs="微软雅黑"/>
          <w:color w:val="auto"/>
          <w:shd w:val="clear" w:color="auto" w:fill="FFFFFF"/>
          <w:lang w:val="en-US" w:eastAsia="zh-CN"/>
        </w:rPr>
        <w:t>吸引更多优秀人才</w:t>
      </w:r>
      <w:r>
        <w:rPr>
          <w:rFonts w:hint="eastAsia" w:ascii="微软雅黑" w:hAnsi="微软雅黑" w:eastAsia="微软雅黑" w:cs="微软雅黑"/>
          <w:color w:val="auto"/>
          <w:shd w:val="clear" w:color="auto" w:fill="FFFFFF"/>
        </w:rPr>
        <w:t>，</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rPr>
        <w:t>提高师资队伍整体水平，组建一支数量足、业务强的专业教师队伍。加强</w:t>
      </w:r>
      <w:r>
        <w:rPr>
          <w:rFonts w:hint="eastAsia" w:ascii="微软雅黑" w:hAnsi="微软雅黑" w:eastAsia="微软雅黑" w:cs="微软雅黑"/>
          <w:color w:val="auto"/>
          <w:shd w:val="clear" w:color="auto" w:fill="FFFFFF"/>
          <w:lang w:val="en-US" w:eastAsia="zh-CN"/>
        </w:rPr>
        <w:t>我校</w:t>
      </w:r>
      <w:r>
        <w:rPr>
          <w:rFonts w:hint="eastAsia" w:ascii="微软雅黑" w:hAnsi="微软雅黑" w:eastAsia="微软雅黑" w:cs="微软雅黑"/>
          <w:color w:val="auto"/>
          <w:shd w:val="clear" w:color="auto" w:fill="FFFFFF"/>
          <w:lang w:eastAsia="zh-CN"/>
        </w:rPr>
        <w:t>专</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textAlignment w:val="auto"/>
        <w:rPr>
          <w:rFonts w:hint="eastAsia" w:ascii="宋体" w:hAnsi="宋体" w:eastAsia="宋体" w:cs="宋体"/>
          <w:b w:val="0"/>
          <w:bCs/>
          <w:sz w:val="32"/>
          <w:szCs w:val="32"/>
        </w:rPr>
      </w:pPr>
      <w:r>
        <w:rPr>
          <w:rFonts w:hint="eastAsia" w:ascii="微软雅黑" w:hAnsi="微软雅黑" w:eastAsia="微软雅黑" w:cs="微软雅黑"/>
          <w:color w:val="auto"/>
          <w:shd w:val="clear" w:color="auto" w:fill="FFFFFF"/>
          <w:lang w:eastAsia="zh-CN"/>
        </w:rPr>
        <w:t>职教师队伍扩充</w:t>
      </w:r>
      <w:r>
        <w:rPr>
          <w:rFonts w:hint="eastAsia" w:ascii="微软雅黑" w:hAnsi="微软雅黑" w:eastAsia="微软雅黑" w:cs="微软雅黑"/>
          <w:color w:val="auto"/>
          <w:shd w:val="clear" w:color="auto" w:fill="FFFFFF"/>
        </w:rPr>
        <w:t>和“双师型”教师培养力度，不断提高</w:t>
      </w:r>
      <w:r>
        <w:rPr>
          <w:rFonts w:hint="eastAsia" w:ascii="微软雅黑" w:hAnsi="微软雅黑" w:eastAsia="微软雅黑" w:cs="微软雅黑"/>
          <w:color w:val="auto"/>
          <w:shd w:val="clear" w:color="auto" w:fill="FFFFFF"/>
          <w:lang w:val="en-US" w:eastAsia="zh-CN"/>
        </w:rPr>
        <w:t>教学质量。</w:t>
      </w:r>
      <w:r>
        <w:rPr>
          <w:rFonts w:hint="eastAsia" w:ascii="宋体" w:hAnsi="宋体" w:eastAsia="宋体" w:cs="宋体"/>
          <w:b w:val="0"/>
          <w:bCs/>
          <w:sz w:val="32"/>
          <w:szCs w:val="32"/>
        </w:rPr>
        <w:t xml:space="preserve">  </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hint="eastAsia" w:ascii="宋体" w:hAnsi="宋体" w:eastAsia="宋体" w:cs="宋体"/>
          <w:b w:val="0"/>
          <w:bCs/>
          <w:sz w:val="32"/>
          <w:szCs w:val="32"/>
        </w:rPr>
      </w:pPr>
      <w:r>
        <w:rPr>
          <w:rFonts w:hint="eastAsia" w:ascii="微软雅黑" w:hAnsi="微软雅黑" w:eastAsia="微软雅黑" w:cs="微软雅黑"/>
          <w:color w:val="auto"/>
          <w:shd w:val="clear" w:color="auto" w:fill="FFFFFF"/>
        </w:rPr>
        <w:t>三是广泛联系当地企业</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建立长期的校企联系共建机制</w:t>
      </w:r>
      <w:r>
        <w:rPr>
          <w:rFonts w:hint="eastAsia" w:ascii="微软雅黑" w:hAnsi="微软雅黑" w:eastAsia="微软雅黑" w:cs="微软雅黑"/>
          <w:color w:val="auto"/>
          <w:shd w:val="clear" w:color="auto" w:fill="FFFFFF"/>
          <w:lang w:eastAsia="zh-CN"/>
        </w:rPr>
        <w:t>，</w:t>
      </w:r>
      <w:r>
        <w:rPr>
          <w:rFonts w:hint="eastAsia" w:ascii="微软雅黑" w:hAnsi="微软雅黑" w:eastAsia="微软雅黑" w:cs="微软雅黑"/>
          <w:color w:val="auto"/>
          <w:shd w:val="clear" w:color="auto" w:fill="FFFFFF"/>
        </w:rPr>
        <w:t>继续深化</w:t>
      </w:r>
      <w:r>
        <w:rPr>
          <w:rFonts w:hint="eastAsia" w:ascii="微软雅黑" w:hAnsi="微软雅黑" w:eastAsia="微软雅黑" w:cs="微软雅黑"/>
          <w:color w:val="auto"/>
          <w:shd w:val="clear" w:color="auto" w:fill="FFFFFF"/>
          <w:lang w:eastAsia="zh-CN"/>
        </w:rPr>
        <w:t>产教融合</w:t>
      </w:r>
      <w:r>
        <w:rPr>
          <w:rFonts w:hint="eastAsia" w:ascii="微软雅黑" w:hAnsi="微软雅黑" w:eastAsia="微软雅黑" w:cs="微软雅黑"/>
          <w:color w:val="auto"/>
          <w:shd w:val="clear" w:color="auto" w:fill="FFFFFF"/>
        </w:rPr>
        <w:t>，充分发挥企业资源优势，加强与企业合作力度，实行订单培养，增设用工量大、</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企业急需的前沿专业，提高学校办学能力。</w:t>
      </w:r>
    </w:p>
    <w:p>
      <w:pPr>
        <w:pStyle w:val="7"/>
        <w:keepNext w:val="0"/>
        <w:keepLines w:val="0"/>
        <w:pageBreakBefore w:val="0"/>
        <w:widowControl/>
        <w:shd w:val="clear" w:color="auto" w:fill="FFFFFF"/>
        <w:kinsoku/>
        <w:wordWrap/>
        <w:overflowPunct w:val="0"/>
        <w:topLinePunct w:val="0"/>
        <w:autoSpaceDE/>
        <w:autoSpaceDN/>
        <w:bidi w:val="0"/>
        <w:adjustRightInd/>
        <w:snapToGrid/>
        <w:spacing w:beforeAutospacing="0" w:afterAutospacing="0"/>
        <w:ind w:firstLine="480" w:firstLineChars="200"/>
        <w:textAlignment w:val="auto"/>
        <w:rPr>
          <w:rFonts w:ascii="微软雅黑" w:hAnsi="微软雅黑" w:eastAsia="微软雅黑" w:cs="微软雅黑"/>
          <w:color w:val="auto"/>
        </w:rPr>
      </w:pPr>
      <w:r>
        <w:rPr>
          <w:rFonts w:hint="eastAsia" w:ascii="微软雅黑" w:hAnsi="微软雅黑" w:eastAsia="微软雅黑" w:cs="微软雅黑"/>
          <w:color w:val="auto"/>
          <w:shd w:val="clear" w:color="auto" w:fill="FFFFFF"/>
        </w:rPr>
        <w:t>今后我们将在国家</w:t>
      </w:r>
      <w:r>
        <w:rPr>
          <w:rFonts w:hint="eastAsia" w:ascii="微软雅黑" w:hAnsi="微软雅黑" w:eastAsia="微软雅黑" w:cs="微软雅黑"/>
          <w:color w:val="auto"/>
          <w:shd w:val="clear" w:color="auto" w:fill="FFFFFF"/>
          <w:lang w:eastAsia="zh-CN"/>
        </w:rPr>
        <w:t>大力发展</w:t>
      </w:r>
      <w:r>
        <w:rPr>
          <w:rFonts w:hint="eastAsia" w:ascii="微软雅黑" w:hAnsi="微软雅黑" w:eastAsia="微软雅黑" w:cs="微软雅黑"/>
          <w:color w:val="auto"/>
          <w:shd w:val="clear" w:color="auto" w:fill="FFFFFF"/>
        </w:rPr>
        <w:t>职业教育新形势</w:t>
      </w:r>
      <w:r>
        <w:rPr>
          <w:rFonts w:hint="eastAsia" w:ascii="微软雅黑" w:hAnsi="微软雅黑" w:eastAsia="微软雅黑" w:cs="微软雅黑"/>
          <w:color w:val="auto"/>
          <w:shd w:val="clear" w:color="auto" w:fill="FFFFFF"/>
          <w:lang w:eastAsia="zh-CN"/>
        </w:rPr>
        <w:t>的</w:t>
      </w:r>
      <w:r>
        <w:rPr>
          <w:rFonts w:hint="eastAsia" w:ascii="微软雅黑" w:hAnsi="微软雅黑" w:eastAsia="微软雅黑" w:cs="微软雅黑"/>
          <w:color w:val="auto"/>
          <w:shd w:val="clear" w:color="auto" w:fill="FFFFFF"/>
        </w:rPr>
        <w:t>指引下，</w:t>
      </w:r>
      <w:r>
        <w:rPr>
          <w:rFonts w:hint="eastAsia" w:ascii="微软雅黑" w:hAnsi="微软雅黑" w:eastAsia="微软雅黑" w:cs="微软雅黑"/>
          <w:color w:val="auto"/>
          <w:shd w:val="clear" w:color="auto" w:fill="FFFFFF"/>
          <w:lang w:eastAsia="zh-CN"/>
        </w:rPr>
        <w:t>全面贯彻落实党的二十大精神，</w:t>
      </w:r>
      <w:r>
        <w:rPr>
          <w:rFonts w:hint="eastAsia" w:ascii="微软雅黑" w:hAnsi="微软雅黑" w:eastAsia="微软雅黑" w:cs="微软雅黑"/>
          <w:color w:val="auto"/>
          <w:shd w:val="clear" w:color="auto" w:fill="FFFFFF"/>
        </w:rPr>
        <w:t>严格执行</w:t>
      </w:r>
      <w:r>
        <w:rPr>
          <w:rFonts w:hint="eastAsia" w:ascii="微软雅黑" w:hAnsi="微软雅黑" w:eastAsia="微软雅黑" w:cs="微软雅黑"/>
          <w:color w:val="auto"/>
          <w:shd w:val="clear" w:color="auto" w:fill="FFFFFF"/>
          <w:lang w:eastAsia="zh-CN"/>
        </w:rPr>
        <w:t>党和</w:t>
      </w:r>
      <w:r>
        <w:rPr>
          <w:rFonts w:hint="eastAsia" w:ascii="微软雅黑" w:hAnsi="微软雅黑" w:eastAsia="微软雅黑" w:cs="微软雅黑"/>
          <w:color w:val="auto"/>
          <w:shd w:val="clear" w:color="auto" w:fill="FFFFFF"/>
        </w:rPr>
        <w:t>国家</w:t>
      </w:r>
      <w:r>
        <w:rPr>
          <w:rFonts w:hint="eastAsia" w:ascii="微软雅黑" w:hAnsi="微软雅黑" w:eastAsia="微软雅黑" w:cs="微软雅黑"/>
          <w:color w:val="auto"/>
          <w:shd w:val="clear" w:color="auto" w:fill="FFFFFF"/>
          <w:lang w:eastAsia="zh-CN"/>
        </w:rPr>
        <w:t>的教育方针</w:t>
      </w:r>
      <w:r>
        <w:rPr>
          <w:rFonts w:hint="eastAsia" w:ascii="微软雅黑" w:hAnsi="微软雅黑" w:eastAsia="微软雅黑" w:cs="微软雅黑"/>
          <w:color w:val="auto"/>
          <w:shd w:val="clear" w:color="auto" w:fill="FFFFFF"/>
        </w:rPr>
        <w:t>，遵照</w:t>
      </w:r>
      <w:r>
        <w:rPr>
          <w:rFonts w:hint="eastAsia" w:ascii="微软雅黑" w:hAnsi="微软雅黑" w:eastAsia="微软雅黑" w:cs="微软雅黑"/>
          <w:color w:val="auto"/>
          <w:shd w:val="clear" w:color="auto" w:fill="FFFFFF"/>
          <w:lang w:eastAsia="zh-CN"/>
        </w:rPr>
        <w:t>中、</w:t>
      </w:r>
      <w:r>
        <w:rPr>
          <w:rFonts w:hint="eastAsia" w:ascii="微软雅黑" w:hAnsi="微软雅黑" w:eastAsia="微软雅黑" w:cs="微软雅黑"/>
          <w:color w:val="auto"/>
          <w:shd w:val="clear" w:color="auto" w:fill="FFFFFF"/>
        </w:rPr>
        <w:t>省、市有关文件精神，进一步增强办学综合实力和管理水平，全面提升人才培养质量和社会服务能力，大力推进学校创新发展、优质发展。以学校发展为核心，深入加强“校企合作”和“产教融合”，不断提高教育教学和学生升学、就业质量，推进学校各方面科学发展、破解突出问题的能力和水平，团结和带领广大师生勇敢面对</w:t>
      </w:r>
      <w:r>
        <w:rPr>
          <w:rFonts w:hint="eastAsia" w:ascii="微软雅黑" w:hAnsi="微软雅黑" w:eastAsia="微软雅黑" w:cs="微软雅黑"/>
          <w:color w:val="auto"/>
          <w:shd w:val="clear" w:color="auto" w:fill="FFFFFF"/>
          <w:lang w:eastAsia="zh-CN"/>
        </w:rPr>
        <w:t>新</w:t>
      </w:r>
      <w:r>
        <w:rPr>
          <w:rFonts w:hint="eastAsia" w:ascii="微软雅黑" w:hAnsi="微软雅黑" w:eastAsia="微软雅黑" w:cs="微软雅黑"/>
          <w:color w:val="auto"/>
          <w:shd w:val="clear" w:color="auto" w:fill="FFFFFF"/>
        </w:rPr>
        <w:t>时代赋予中职</w:t>
      </w:r>
      <w:r>
        <w:rPr>
          <w:rFonts w:hint="eastAsia" w:ascii="微软雅黑" w:hAnsi="微软雅黑" w:eastAsia="微软雅黑" w:cs="微软雅黑"/>
          <w:color w:val="auto"/>
          <w:shd w:val="clear" w:color="auto" w:fill="FFFFFF"/>
          <w:lang w:eastAsia="zh-CN"/>
        </w:rPr>
        <w:t>教育的</w:t>
      </w:r>
      <w:r>
        <w:rPr>
          <w:rFonts w:hint="eastAsia" w:ascii="微软雅黑" w:hAnsi="微软雅黑" w:eastAsia="微软雅黑" w:cs="微软雅黑"/>
          <w:color w:val="auto"/>
          <w:shd w:val="clear" w:color="auto" w:fill="FFFFFF"/>
        </w:rPr>
        <w:t>新机遇、新挑战，以“时不我待，只争朝夕”的姿态，全力拼搏、奋勇向前，努力把学校办成一所有影响、有实力的名校。</w:t>
      </w:r>
    </w:p>
    <w:p>
      <w:pPr>
        <w:pStyle w:val="7"/>
        <w:keepNext w:val="0"/>
        <w:keepLines w:val="0"/>
        <w:pageBreakBefore w:val="0"/>
        <w:widowControl/>
        <w:shd w:val="clear" w:color="auto" w:fill="FFFFFF"/>
        <w:kinsoku/>
        <w:wordWrap/>
        <w:overflowPunct w:val="0"/>
        <w:topLinePunct w:val="0"/>
        <w:autoSpaceDE/>
        <w:autoSpaceDN/>
        <w:bidi w:val="0"/>
        <w:adjustRightInd/>
        <w:spacing w:beforeAutospacing="0" w:afterAutospacing="0"/>
        <w:ind w:firstLine="6000" w:firstLineChars="2500"/>
        <w:textAlignment w:val="auto"/>
        <w:rPr>
          <w:rFonts w:hint="eastAsia" w:ascii="微软雅黑" w:hAnsi="微软雅黑" w:eastAsia="微软雅黑" w:cs="微软雅黑"/>
          <w:color w:val="auto"/>
          <w:shd w:val="clear" w:color="auto" w:fill="FFFFFF"/>
          <w:lang w:eastAsia="zh-CN"/>
        </w:rPr>
      </w:pPr>
    </w:p>
    <w:p>
      <w:pPr>
        <w:pStyle w:val="7"/>
        <w:keepNext w:val="0"/>
        <w:keepLines w:val="0"/>
        <w:pageBreakBefore w:val="0"/>
        <w:widowControl/>
        <w:shd w:val="clear" w:color="auto" w:fill="FFFFFF"/>
        <w:kinsoku/>
        <w:wordWrap/>
        <w:overflowPunct w:val="0"/>
        <w:topLinePunct w:val="0"/>
        <w:autoSpaceDE/>
        <w:autoSpaceDN/>
        <w:bidi w:val="0"/>
        <w:adjustRightInd/>
        <w:spacing w:beforeAutospacing="0" w:afterAutospacing="0"/>
        <w:ind w:firstLine="6000" w:firstLineChars="2500"/>
        <w:textAlignment w:val="auto"/>
        <w:rPr>
          <w:rFonts w:hint="eastAsia" w:ascii="微软雅黑" w:hAnsi="微软雅黑" w:eastAsia="微软雅黑" w:cs="微软雅黑"/>
          <w:color w:val="auto"/>
          <w:shd w:val="clear" w:color="auto" w:fill="FFFFFF"/>
          <w:lang w:eastAsia="zh-CN"/>
        </w:rPr>
      </w:pPr>
    </w:p>
    <w:p>
      <w:pPr>
        <w:pStyle w:val="7"/>
        <w:keepNext w:val="0"/>
        <w:keepLines w:val="0"/>
        <w:pageBreakBefore w:val="0"/>
        <w:widowControl/>
        <w:shd w:val="clear" w:color="auto" w:fill="FFFFFF"/>
        <w:kinsoku/>
        <w:wordWrap/>
        <w:overflowPunct w:val="0"/>
        <w:topLinePunct w:val="0"/>
        <w:autoSpaceDE/>
        <w:autoSpaceDN/>
        <w:bidi w:val="0"/>
        <w:adjustRightInd/>
        <w:spacing w:beforeAutospacing="0" w:afterAutospacing="0"/>
        <w:ind w:firstLine="6000" w:firstLineChars="2500"/>
        <w:textAlignment w:val="auto"/>
        <w:rPr>
          <w:rFonts w:hint="eastAsia" w:ascii="微软雅黑" w:hAnsi="微软雅黑" w:eastAsia="微软雅黑" w:cs="微软雅黑"/>
          <w:color w:val="auto"/>
          <w:shd w:val="clear" w:color="auto" w:fill="FFFFFF"/>
          <w:lang w:eastAsia="zh-CN"/>
        </w:rPr>
      </w:pPr>
    </w:p>
    <w:p>
      <w:pPr>
        <w:pStyle w:val="7"/>
        <w:keepNext w:val="0"/>
        <w:keepLines w:val="0"/>
        <w:pageBreakBefore w:val="0"/>
        <w:widowControl/>
        <w:shd w:val="clear" w:color="auto" w:fill="FFFFFF"/>
        <w:kinsoku/>
        <w:wordWrap/>
        <w:overflowPunct w:val="0"/>
        <w:topLinePunct w:val="0"/>
        <w:autoSpaceDE/>
        <w:autoSpaceDN/>
        <w:bidi w:val="0"/>
        <w:adjustRightInd/>
        <w:spacing w:beforeAutospacing="0" w:afterAutospacing="0"/>
        <w:ind w:firstLine="4800" w:firstLineChars="2000"/>
        <w:textAlignment w:val="auto"/>
        <w:rPr>
          <w:rFonts w:hint="eastAsia" w:ascii="微软雅黑" w:hAnsi="微软雅黑" w:eastAsia="微软雅黑" w:cs="微软雅黑"/>
          <w:color w:val="auto"/>
          <w:shd w:val="clear" w:color="auto" w:fill="FFFFFF"/>
          <w:lang w:eastAsia="zh-CN"/>
        </w:rPr>
      </w:pPr>
      <w:r>
        <w:rPr>
          <w:rFonts w:hint="eastAsia" w:ascii="微软雅黑" w:hAnsi="微软雅黑" w:eastAsia="微软雅黑" w:cs="微软雅黑"/>
          <w:color w:val="auto"/>
          <w:shd w:val="clear" w:color="auto" w:fill="FFFFFF"/>
          <w:lang w:eastAsia="zh-CN"/>
        </w:rPr>
        <w:t>渭南市红星中等职业学校</w:t>
      </w:r>
    </w:p>
    <w:p>
      <w:pPr>
        <w:pStyle w:val="7"/>
        <w:keepNext w:val="0"/>
        <w:keepLines w:val="0"/>
        <w:pageBreakBefore w:val="0"/>
        <w:widowControl/>
        <w:shd w:val="clear" w:color="auto" w:fill="FFFFFF"/>
        <w:kinsoku/>
        <w:wordWrap/>
        <w:overflowPunct w:val="0"/>
        <w:topLinePunct w:val="0"/>
        <w:autoSpaceDE/>
        <w:autoSpaceDN/>
        <w:bidi w:val="0"/>
        <w:adjustRightInd/>
        <w:spacing w:beforeAutospacing="0" w:afterAutospacing="0"/>
        <w:ind w:firstLine="5040" w:firstLineChars="2100"/>
        <w:textAlignment w:val="auto"/>
        <w:rPr>
          <w:rFonts w:hint="eastAsia" w:ascii="微软雅黑" w:hAnsi="微软雅黑" w:eastAsia="微软雅黑" w:cs="微软雅黑"/>
          <w:color w:val="auto"/>
          <w:shd w:val="clear" w:color="auto" w:fill="FFFFFF"/>
        </w:rPr>
      </w:pPr>
      <w:r>
        <w:rPr>
          <w:rFonts w:hint="eastAsia" w:ascii="微软雅黑" w:hAnsi="微软雅黑" w:eastAsia="微软雅黑" w:cs="微软雅黑"/>
          <w:color w:val="auto"/>
          <w:shd w:val="clear" w:color="auto" w:fill="FFFFFF"/>
        </w:rPr>
        <w:t>2022年12月</w:t>
      </w:r>
      <w:r>
        <w:rPr>
          <w:rFonts w:hint="eastAsia" w:ascii="微软雅黑" w:hAnsi="微软雅黑" w:eastAsia="微软雅黑" w:cs="微软雅黑"/>
          <w:color w:val="auto"/>
          <w:shd w:val="clear" w:color="auto" w:fill="FFFFFF"/>
          <w:lang w:val="en-US" w:eastAsia="zh-CN"/>
        </w:rPr>
        <w:t>30</w:t>
      </w:r>
      <w:r>
        <w:rPr>
          <w:rFonts w:hint="eastAsia" w:ascii="微软雅黑" w:hAnsi="微软雅黑" w:eastAsia="微软雅黑" w:cs="微软雅黑"/>
          <w:color w:val="auto"/>
          <w:shd w:val="clear" w:color="auto" w:fill="FFFFFF"/>
        </w:rPr>
        <w:t>日</w:t>
      </w:r>
    </w:p>
    <w:p>
      <w:pPr>
        <w:jc w:val="center"/>
        <w:outlineLvl w:val="2"/>
        <w:rPr>
          <w:rFonts w:hint="eastAsia" w:ascii="仿宋_GB2312" w:hAnsi="仿宋_GB2312" w:eastAsia="仿宋_GB2312" w:cs="仿宋_GB2312"/>
          <w:b/>
          <w:bCs/>
          <w:snapToGrid w:val="0"/>
          <w:color w:val="000000"/>
          <w:spacing w:val="0"/>
          <w:kern w:val="0"/>
          <w:sz w:val="32"/>
          <w:szCs w:val="32"/>
        </w:rPr>
      </w:pPr>
    </w:p>
    <w:p>
      <w:pPr>
        <w:jc w:val="center"/>
        <w:outlineLvl w:val="2"/>
        <w:rPr>
          <w:rFonts w:hint="eastAsia" w:ascii="仿宋_GB2312" w:hAnsi="仿宋_GB2312" w:eastAsia="仿宋_GB2312" w:cs="仿宋_GB2312"/>
          <w:b/>
          <w:bCs/>
          <w:snapToGrid w:val="0"/>
          <w:color w:val="000000"/>
          <w:spacing w:val="0"/>
          <w:kern w:val="0"/>
          <w:sz w:val="32"/>
          <w:szCs w:val="32"/>
        </w:rPr>
      </w:pPr>
    </w:p>
    <w:p>
      <w:pPr>
        <w:jc w:val="center"/>
        <w:outlineLvl w:val="2"/>
        <w:rPr>
          <w:rFonts w:hint="eastAsia" w:ascii="仿宋_GB2312" w:hAnsi="仿宋_GB2312" w:eastAsia="仿宋_GB2312" w:cs="仿宋_GB2312"/>
          <w:b/>
          <w:bCs/>
          <w:snapToGrid w:val="0"/>
          <w:color w:val="000000"/>
          <w:spacing w:val="0"/>
          <w:kern w:val="0"/>
          <w:sz w:val="32"/>
          <w:szCs w:val="32"/>
        </w:rPr>
      </w:pPr>
    </w:p>
    <w:p>
      <w:pPr>
        <w:jc w:val="center"/>
        <w:outlineLvl w:val="2"/>
        <w:rPr>
          <w:rFonts w:hint="eastAsia" w:ascii="仿宋_GB2312" w:hAnsi="仿宋_GB2312" w:eastAsia="仿宋_GB2312" w:cs="仿宋_GB2312"/>
          <w:b/>
          <w:bCs/>
          <w:snapToGrid w:val="0"/>
          <w:color w:val="000000"/>
          <w:spacing w:val="0"/>
          <w:kern w:val="0"/>
          <w:sz w:val="32"/>
          <w:szCs w:val="32"/>
        </w:rPr>
      </w:pPr>
    </w:p>
    <w:p>
      <w:pPr>
        <w:jc w:val="center"/>
        <w:outlineLvl w:val="2"/>
        <w:rPr>
          <w:rFonts w:hint="eastAsia" w:ascii="仿宋_GB2312" w:hAnsi="仿宋_GB2312" w:eastAsia="仿宋_GB2312" w:cs="仿宋_GB2312"/>
          <w:b/>
          <w:bCs/>
          <w:snapToGrid w:val="0"/>
          <w:color w:val="000000"/>
          <w:spacing w:val="0"/>
          <w:kern w:val="0"/>
          <w:sz w:val="32"/>
          <w:szCs w:val="32"/>
        </w:rPr>
      </w:pPr>
    </w:p>
    <w:p>
      <w:pPr>
        <w:jc w:val="center"/>
        <w:outlineLvl w:val="2"/>
        <w:rPr>
          <w:rFonts w:hint="eastAsia" w:ascii="仿宋_GB2312" w:hAnsi="仿宋_GB2312" w:eastAsia="仿宋_GB2312" w:cs="仿宋_GB2312"/>
          <w:b/>
          <w:bCs/>
          <w:snapToGrid w:val="0"/>
          <w:color w:val="000000"/>
          <w:spacing w:val="0"/>
          <w:kern w:val="0"/>
          <w:sz w:val="32"/>
          <w:szCs w:val="32"/>
        </w:rPr>
      </w:pPr>
    </w:p>
    <w:p>
      <w:pPr>
        <w:jc w:val="center"/>
        <w:outlineLvl w:val="2"/>
        <w:rPr>
          <w:rFonts w:hint="eastAsia" w:ascii="仿宋_GB2312" w:hAnsi="仿宋_GB2312" w:eastAsia="仿宋_GB2312" w:cs="仿宋_GB2312"/>
          <w:b/>
          <w:bCs/>
          <w:snapToGrid w:val="0"/>
          <w:color w:val="000000"/>
          <w:spacing w:val="0"/>
          <w:kern w:val="0"/>
          <w:sz w:val="32"/>
          <w:szCs w:val="32"/>
        </w:rPr>
      </w:pPr>
    </w:p>
    <w:p>
      <w:pPr>
        <w:jc w:val="center"/>
        <w:outlineLvl w:val="2"/>
        <w:rPr>
          <w:rFonts w:hint="eastAsia" w:ascii="仿宋_GB2312" w:hAnsi="仿宋_GB2312" w:eastAsia="仿宋_GB2312" w:cs="仿宋_GB2312"/>
          <w:b/>
          <w:bCs/>
          <w:snapToGrid w:val="0"/>
          <w:color w:val="000000"/>
          <w:spacing w:val="0"/>
          <w:kern w:val="0"/>
          <w:sz w:val="32"/>
          <w:szCs w:val="32"/>
        </w:rPr>
      </w:pPr>
    </w:p>
    <w:p>
      <w:pPr>
        <w:jc w:val="center"/>
        <w:outlineLvl w:val="2"/>
        <w:rPr>
          <w:rFonts w:hint="eastAsia" w:ascii="仿宋_GB2312" w:hAnsi="仿宋_GB2312" w:eastAsia="仿宋_GB2312" w:cs="仿宋_GB2312"/>
          <w:b/>
          <w:bCs/>
          <w:snapToGrid w:val="0"/>
          <w:color w:val="000000"/>
          <w:spacing w:val="0"/>
          <w:kern w:val="0"/>
          <w:sz w:val="32"/>
          <w:szCs w:val="32"/>
        </w:rPr>
      </w:pPr>
      <w:r>
        <w:rPr>
          <w:rFonts w:hint="eastAsia" w:ascii="仿宋_GB2312" w:hAnsi="仿宋_GB2312" w:eastAsia="仿宋_GB2312" w:cs="仿宋_GB2312"/>
          <w:b/>
          <w:bCs/>
          <w:snapToGrid w:val="0"/>
          <w:color w:val="000000"/>
          <w:spacing w:val="0"/>
          <w:kern w:val="0"/>
          <w:sz w:val="32"/>
          <w:szCs w:val="32"/>
        </w:rPr>
        <w:t>表1  中等职业教育质量数据表</w:t>
      </w:r>
    </w:p>
    <w:p>
      <w:pPr>
        <w:ind w:firstLine="182" w:firstLineChars="65"/>
        <w:jc w:val="left"/>
        <w:outlineLvl w:val="3"/>
        <w:rPr>
          <w:rFonts w:hint="eastAsia" w:ascii="Nimbus Roman" w:hAnsi="Nimbus Roman" w:eastAsia="宋体" w:cs="Nimbus Roman"/>
          <w:color w:val="000000"/>
          <w:sz w:val="28"/>
          <w:szCs w:val="28"/>
          <w:lang w:val="en-US" w:eastAsia="zh-CN"/>
        </w:rPr>
      </w:pPr>
      <w:r>
        <w:rPr>
          <w:rFonts w:ascii="Nimbus Roman" w:hAnsi="Nimbus Roman" w:cs="Nimbus Roman"/>
          <w:color w:val="000000"/>
          <w:sz w:val="28"/>
          <w:szCs w:val="28"/>
        </w:rPr>
        <w:t>名称：</w:t>
      </w:r>
      <w:r>
        <w:rPr>
          <w:rFonts w:hint="eastAsia" w:ascii="Nimbus Roman" w:hAnsi="Nimbus Roman" w:cs="Nimbus Roman"/>
          <w:color w:val="000000"/>
          <w:sz w:val="28"/>
          <w:szCs w:val="28"/>
          <w:lang w:eastAsia="zh-CN"/>
        </w:rPr>
        <w:t>渭南市红星中等职业学校</w:t>
      </w:r>
    </w:p>
    <w:tbl>
      <w:tblPr>
        <w:tblStyle w:val="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8"/>
        <w:gridCol w:w="4768"/>
        <w:gridCol w:w="834"/>
        <w:gridCol w:w="1170"/>
        <w:gridCol w:w="12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tblHeader/>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序号</w:t>
            </w:r>
          </w:p>
        </w:tc>
        <w:tc>
          <w:tcPr>
            <w:tcW w:w="476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指标</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单位</w:t>
            </w:r>
          </w:p>
        </w:tc>
        <w:tc>
          <w:tcPr>
            <w:tcW w:w="1170"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2022年</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1</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思政课程教师数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3</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2</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德育工作人员数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9</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3</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班主任数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Style w:val="11"/>
                <w:rFonts w:hint="default"/>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6</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restart"/>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4</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德育活动学生参与数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194</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其中：国家级</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ind w:firstLine="630" w:firstLineChars="300"/>
              <w:jc w:val="center"/>
              <w:textAlignment w:val="center"/>
              <w:rPr>
                <w:rFonts w:eastAsia="宋体"/>
                <w:color w:val="000000"/>
                <w:kern w:val="0"/>
                <w:sz w:val="21"/>
                <w:szCs w:val="21"/>
              </w:rPr>
            </w:pPr>
            <w:r>
              <w:rPr>
                <w:rStyle w:val="12"/>
                <w:rFonts w:hint="default" w:ascii="Times New Roman" w:hAnsi="Times New Roman" w:cs="Times New Roman"/>
                <w:b w:val="0"/>
                <w:bCs w:val="0"/>
                <w:color w:val="000000"/>
                <w:kern w:val="0"/>
                <w:sz w:val="21"/>
                <w:szCs w:val="21"/>
              </w:rPr>
              <w:t>省级</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ind w:firstLine="630" w:firstLineChars="300"/>
              <w:jc w:val="center"/>
              <w:textAlignment w:val="center"/>
              <w:rPr>
                <w:rFonts w:eastAsia="宋体"/>
                <w:color w:val="000000"/>
                <w:kern w:val="0"/>
                <w:sz w:val="21"/>
                <w:szCs w:val="21"/>
              </w:rPr>
            </w:pPr>
            <w:r>
              <w:rPr>
                <w:rStyle w:val="12"/>
                <w:rFonts w:hint="default" w:ascii="Times New Roman" w:hAnsi="Times New Roman" w:cs="Times New Roman"/>
                <w:b w:val="0"/>
                <w:bCs w:val="0"/>
                <w:color w:val="000000"/>
                <w:kern w:val="0"/>
                <w:sz w:val="21"/>
                <w:szCs w:val="21"/>
              </w:rPr>
              <w:t>地市级</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5</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体育课专任教师数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6</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美育课专任教师数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1" w:hRule="atLeast"/>
          <w:jc w:val="center"/>
        </w:trPr>
        <w:tc>
          <w:tcPr>
            <w:tcW w:w="708" w:type="dxa"/>
            <w:vMerge w:val="restart"/>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7</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升学总人数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11</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其中：通过贯通培养升学人数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ind w:firstLine="630" w:firstLineChars="300"/>
              <w:jc w:val="center"/>
              <w:textAlignment w:val="center"/>
              <w:rPr>
                <w:rFonts w:eastAsia="宋体"/>
                <w:color w:val="000000"/>
                <w:kern w:val="0"/>
                <w:sz w:val="21"/>
                <w:szCs w:val="21"/>
              </w:rPr>
            </w:pPr>
            <w:r>
              <w:rPr>
                <w:rFonts w:eastAsia="宋体"/>
                <w:color w:val="000000"/>
                <w:kern w:val="0"/>
                <w:sz w:val="21"/>
                <w:szCs w:val="21"/>
              </w:rPr>
              <w:t>通过五年一贯制培养升学人数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ind w:firstLine="630" w:firstLineChars="300"/>
              <w:jc w:val="center"/>
              <w:textAlignment w:val="center"/>
              <w:rPr>
                <w:rFonts w:eastAsia="宋体"/>
                <w:color w:val="000000"/>
                <w:kern w:val="0"/>
                <w:sz w:val="21"/>
                <w:szCs w:val="21"/>
              </w:rPr>
            </w:pPr>
            <w:r>
              <w:rPr>
                <w:rFonts w:eastAsia="宋体"/>
                <w:color w:val="000000"/>
                <w:kern w:val="0"/>
                <w:sz w:val="21"/>
                <w:szCs w:val="21"/>
              </w:rPr>
              <w:t>通过职教高考升学人数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9</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1"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ind w:firstLine="630" w:firstLineChars="300"/>
              <w:jc w:val="center"/>
              <w:textAlignment w:val="center"/>
              <w:rPr>
                <w:rFonts w:eastAsia="宋体"/>
                <w:color w:val="000000"/>
                <w:kern w:val="0"/>
                <w:sz w:val="21"/>
                <w:szCs w:val="21"/>
              </w:rPr>
            </w:pPr>
            <w:r>
              <w:rPr>
                <w:rFonts w:eastAsia="宋体"/>
                <w:color w:val="000000"/>
                <w:kern w:val="0"/>
                <w:sz w:val="21"/>
                <w:szCs w:val="21"/>
              </w:rPr>
              <w:t>升入职业本科人数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Style w:val="11"/>
                <w:rFonts w:hint="default"/>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ind w:firstLine="630" w:firstLineChars="300"/>
              <w:jc w:val="center"/>
              <w:textAlignment w:val="center"/>
              <w:rPr>
                <w:rFonts w:eastAsia="宋体"/>
                <w:color w:val="000000"/>
                <w:kern w:val="0"/>
                <w:sz w:val="21"/>
                <w:szCs w:val="21"/>
              </w:rPr>
            </w:pPr>
            <w:r>
              <w:rPr>
                <w:rFonts w:eastAsia="宋体"/>
                <w:color w:val="000000"/>
                <w:kern w:val="0"/>
                <w:sz w:val="21"/>
                <w:szCs w:val="21"/>
              </w:rPr>
              <w:t>升入普通本科人数</w:t>
            </w:r>
          </w:p>
        </w:tc>
        <w:tc>
          <w:tcPr>
            <w:tcW w:w="834" w:type="dxa"/>
            <w:noWrap w:val="0"/>
            <w:vAlign w:val="center"/>
          </w:tcPr>
          <w:p>
            <w:pPr>
              <w:adjustRightInd w:val="0"/>
              <w:snapToGrid w:val="0"/>
              <w:jc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2</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ind w:firstLine="630" w:firstLineChars="300"/>
              <w:jc w:val="center"/>
              <w:textAlignment w:val="center"/>
              <w:rPr>
                <w:rFonts w:eastAsia="宋体"/>
                <w:color w:val="000000"/>
                <w:kern w:val="0"/>
                <w:sz w:val="21"/>
                <w:szCs w:val="21"/>
              </w:rPr>
            </w:pPr>
            <w:r>
              <w:rPr>
                <w:rFonts w:eastAsia="宋体"/>
                <w:color w:val="000000"/>
                <w:kern w:val="0"/>
                <w:sz w:val="21"/>
                <w:szCs w:val="21"/>
              </w:rPr>
              <w:t>升入专科人数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9</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8</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全日制在校生数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199</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9</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专业数量</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个</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1</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10</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课程总量</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门</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17</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11</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参加国家学生体质健康标准测试人数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210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学校填报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12</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学生体质测评合格率</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100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学校填报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13</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全国职业院校技能大赛学生获奖人数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14</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全国职业技能大赛学生获奖人数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Style w:val="11"/>
                <w:rFonts w:hint="default"/>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15</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spacing w:val="-11"/>
                <w:kern w:val="0"/>
                <w:sz w:val="21"/>
                <w:szCs w:val="21"/>
              </w:rPr>
              <w:t>职业技能等级证书（含职业资格证书）获取人数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58</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6" w:hRule="atLeast"/>
          <w:jc w:val="center"/>
        </w:trPr>
        <w:tc>
          <w:tcPr>
            <w:tcW w:w="70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16</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生均校园用地面积</w:t>
            </w:r>
          </w:p>
        </w:tc>
        <w:tc>
          <w:tcPr>
            <w:tcW w:w="834" w:type="dxa"/>
            <w:noWrap w:val="0"/>
            <w:vAlign w:val="center"/>
          </w:tcPr>
          <w:p>
            <w:pPr>
              <w:widowControl/>
              <w:adjustRightInd w:val="0"/>
              <w:snapToGrid w:val="0"/>
              <w:ind w:left="-42" w:leftChars="-20" w:right="-42" w:rightChars="-20"/>
              <w:jc w:val="center"/>
              <w:textAlignment w:val="center"/>
              <w:rPr>
                <w:rFonts w:eastAsia="宋体"/>
                <w:color w:val="000000"/>
                <w:kern w:val="0"/>
                <w:sz w:val="21"/>
                <w:szCs w:val="21"/>
              </w:rPr>
            </w:pPr>
            <w:r>
              <w:rPr>
                <w:rFonts w:eastAsia="宋体"/>
                <w:color w:val="000000"/>
                <w:kern w:val="0"/>
                <w:sz w:val="21"/>
                <w:szCs w:val="21"/>
              </w:rPr>
              <w:t>平方米</w:t>
            </w:r>
          </w:p>
        </w:tc>
        <w:tc>
          <w:tcPr>
            <w:tcW w:w="1170" w:type="dxa"/>
            <w:noWrap w:val="0"/>
            <w:vAlign w:val="center"/>
          </w:tcPr>
          <w:p>
            <w:pPr>
              <w:adjustRightInd w:val="0"/>
              <w:snapToGrid w:val="0"/>
              <w:jc w:val="center"/>
              <w:outlineLvl w:val="1"/>
              <w:rPr>
                <w:rFonts w:hint="default"/>
                <w:lang w:val="en-US" w:eastAsia="zh-CN"/>
              </w:rPr>
            </w:pPr>
            <w:r>
              <w:rPr>
                <w:rFonts w:hint="eastAsia"/>
                <w:lang w:val="en-US" w:eastAsia="zh-CN"/>
              </w:rPr>
              <w:t>79.07</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17</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生均校舍建筑面积</w:t>
            </w:r>
          </w:p>
        </w:tc>
        <w:tc>
          <w:tcPr>
            <w:tcW w:w="834" w:type="dxa"/>
            <w:noWrap w:val="0"/>
            <w:vAlign w:val="center"/>
          </w:tcPr>
          <w:p>
            <w:pPr>
              <w:widowControl/>
              <w:adjustRightInd w:val="0"/>
              <w:snapToGrid w:val="0"/>
              <w:ind w:left="-42" w:leftChars="-20" w:right="-42" w:rightChars="-20"/>
              <w:jc w:val="center"/>
              <w:textAlignment w:val="center"/>
              <w:rPr>
                <w:rFonts w:eastAsia="宋体"/>
                <w:color w:val="000000"/>
                <w:kern w:val="0"/>
                <w:sz w:val="21"/>
                <w:szCs w:val="21"/>
              </w:rPr>
            </w:pPr>
            <w:r>
              <w:rPr>
                <w:rFonts w:eastAsia="宋体"/>
                <w:color w:val="000000"/>
                <w:kern w:val="0"/>
                <w:sz w:val="21"/>
                <w:szCs w:val="21"/>
              </w:rPr>
              <w:t>平方米</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 xml:space="preserve">68.99 </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18</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生均教学、实习仪器设备资产值</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元</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23255.81</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19</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年生均财政拨款</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元</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1600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20</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纸质图书数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Style w:val="11"/>
                <w:rFonts w:hint="default"/>
                <w:color w:val="000000"/>
                <w:kern w:val="0"/>
                <w:sz w:val="21"/>
                <w:szCs w:val="21"/>
              </w:rPr>
              <w:t>册</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10800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21</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电子图书资源数</w:t>
            </w:r>
          </w:p>
        </w:tc>
        <w:tc>
          <w:tcPr>
            <w:tcW w:w="834"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册</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75031</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22</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校园网主干最大带宽</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Mbps</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1000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23</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教职员工额定编制数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adjustRightInd w:val="0"/>
              <w:snapToGrid w:val="0"/>
              <w:jc w:val="center"/>
              <w:textAlignment w:val="center"/>
              <w:rPr>
                <w:rFonts w:eastAsia="宋体"/>
                <w:color w:val="000000"/>
                <w:kern w:val="0"/>
                <w:sz w:val="21"/>
                <w:szCs w:val="21"/>
              </w:rPr>
            </w:pPr>
            <w:r>
              <w:rPr>
                <w:rFonts w:eastAsia="宋体"/>
                <w:color w:val="000000"/>
                <w:kern w:val="0"/>
                <w:sz w:val="21"/>
                <w:szCs w:val="21"/>
              </w:rPr>
              <w:t>24</w:t>
            </w:r>
          </w:p>
        </w:tc>
        <w:tc>
          <w:tcPr>
            <w:tcW w:w="4768" w:type="dxa"/>
            <w:noWrap w:val="0"/>
            <w:vAlign w:val="center"/>
          </w:tcPr>
          <w:p>
            <w:pPr>
              <w:adjustRightInd w:val="0"/>
              <w:snapToGrid w:val="0"/>
              <w:jc w:val="center"/>
              <w:textAlignment w:val="center"/>
              <w:rPr>
                <w:rFonts w:eastAsia="宋体"/>
                <w:color w:val="000000"/>
                <w:kern w:val="0"/>
                <w:sz w:val="21"/>
                <w:szCs w:val="21"/>
              </w:rPr>
            </w:pPr>
            <w:r>
              <w:rPr>
                <w:rFonts w:eastAsia="宋体"/>
                <w:color w:val="000000"/>
                <w:kern w:val="0"/>
                <w:sz w:val="21"/>
                <w:szCs w:val="21"/>
              </w:rPr>
              <w:t>教职员工总数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36</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restart"/>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25</w:t>
            </w:r>
          </w:p>
        </w:tc>
        <w:tc>
          <w:tcPr>
            <w:tcW w:w="4768" w:type="dxa"/>
            <w:noWrap w:val="0"/>
            <w:vAlign w:val="center"/>
          </w:tcPr>
          <w:p>
            <w:pPr>
              <w:adjustRightInd w:val="0"/>
              <w:snapToGrid w:val="0"/>
              <w:jc w:val="center"/>
              <w:rPr>
                <w:rFonts w:eastAsia="宋体"/>
                <w:color w:val="000000"/>
                <w:kern w:val="0"/>
                <w:sz w:val="21"/>
                <w:szCs w:val="21"/>
              </w:rPr>
            </w:pPr>
            <w:r>
              <w:rPr>
                <w:rFonts w:eastAsia="宋体"/>
                <w:color w:val="000000"/>
                <w:kern w:val="0"/>
                <w:sz w:val="21"/>
                <w:szCs w:val="21"/>
              </w:rPr>
              <w:t>专任教师数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20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continue"/>
            <w:noWrap w:val="0"/>
            <w:vAlign w:val="center"/>
          </w:tcPr>
          <w:p>
            <w:pPr>
              <w:widowControl/>
              <w:adjustRightInd w:val="0"/>
              <w:snapToGrid w:val="0"/>
              <w:jc w:val="center"/>
              <w:textAlignment w:val="center"/>
              <w:rPr>
                <w:rFonts w:eastAsia="宋体"/>
                <w:color w:val="000000"/>
                <w:kern w:val="0"/>
                <w:sz w:val="21"/>
                <w:szCs w:val="21"/>
              </w:rPr>
            </w:pPr>
          </w:p>
        </w:tc>
        <w:tc>
          <w:tcPr>
            <w:tcW w:w="4768" w:type="dxa"/>
            <w:noWrap w:val="0"/>
            <w:vAlign w:val="center"/>
          </w:tcPr>
          <w:p>
            <w:pPr>
              <w:adjustRightInd w:val="0"/>
              <w:snapToGrid w:val="0"/>
              <w:jc w:val="center"/>
              <w:rPr>
                <w:rFonts w:eastAsia="宋体"/>
                <w:color w:val="000000"/>
                <w:kern w:val="0"/>
                <w:sz w:val="21"/>
                <w:szCs w:val="21"/>
              </w:rPr>
            </w:pPr>
            <w:r>
              <w:rPr>
                <w:rFonts w:eastAsia="宋体"/>
                <w:color w:val="000000"/>
                <w:kern w:val="0"/>
                <w:sz w:val="21"/>
                <w:szCs w:val="21"/>
              </w:rPr>
              <w:t>其中：专业教师数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3</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26</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生师比</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9.95:1</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27</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双师型教师总数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3</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28</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高级专业技术职务专任教师占比</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45</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29</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硕士研究生及以上学历专任教师占比</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30</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兼职教师总数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15</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31</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毕业生总数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11</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32</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就业人数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33</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毕业生专业对口就业（升学）人数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11</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学校填报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restart"/>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34</w:t>
            </w:r>
          </w:p>
          <w:p>
            <w:pPr>
              <w:widowControl/>
              <w:adjustRightInd w:val="0"/>
              <w:snapToGrid w:val="0"/>
              <w:jc w:val="center"/>
              <w:textAlignment w:val="center"/>
              <w:rPr>
                <w:rFonts w:eastAsia="宋体"/>
                <w:color w:val="000000"/>
                <w:kern w:val="0"/>
                <w:sz w:val="21"/>
                <w:szCs w:val="21"/>
              </w:rPr>
            </w:pP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毕业生服务三次产业人数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学校填报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其中：服务第一产业人数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学校填报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continue"/>
            <w:noWrap w:val="0"/>
            <w:vAlign w:val="center"/>
          </w:tcPr>
          <w:p>
            <w:pPr>
              <w:adjustRightInd w:val="0"/>
              <w:snapToGrid w:val="0"/>
              <w:jc w:val="center"/>
              <w:outlineLvl w:val="1"/>
              <w:rPr>
                <w:rFonts w:eastAsia="宋体"/>
                <w:color w:val="000000"/>
                <w:kern w:val="0"/>
                <w:sz w:val="21"/>
                <w:szCs w:val="21"/>
              </w:rPr>
            </w:pPr>
          </w:p>
        </w:tc>
        <w:tc>
          <w:tcPr>
            <w:tcW w:w="4768" w:type="dxa"/>
            <w:noWrap w:val="0"/>
            <w:vAlign w:val="center"/>
          </w:tcPr>
          <w:p>
            <w:pPr>
              <w:widowControl/>
              <w:adjustRightInd w:val="0"/>
              <w:snapToGrid w:val="0"/>
              <w:ind w:firstLine="630" w:firstLineChars="300"/>
              <w:jc w:val="center"/>
              <w:textAlignment w:val="center"/>
              <w:rPr>
                <w:rFonts w:eastAsia="宋体"/>
                <w:color w:val="000000"/>
                <w:kern w:val="0"/>
                <w:sz w:val="21"/>
                <w:szCs w:val="21"/>
              </w:rPr>
            </w:pPr>
            <w:r>
              <w:rPr>
                <w:rFonts w:eastAsia="宋体"/>
                <w:color w:val="000000"/>
                <w:kern w:val="0"/>
                <w:sz w:val="21"/>
                <w:szCs w:val="21"/>
              </w:rPr>
              <w:t>服务第二产业人数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学校填报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vMerge w:val="continue"/>
            <w:noWrap w:val="0"/>
            <w:vAlign w:val="center"/>
          </w:tcPr>
          <w:p>
            <w:pPr>
              <w:widowControl/>
              <w:adjustRightInd w:val="0"/>
              <w:snapToGrid w:val="0"/>
              <w:jc w:val="center"/>
              <w:textAlignment w:val="center"/>
              <w:rPr>
                <w:rFonts w:eastAsia="宋体"/>
                <w:color w:val="000000"/>
                <w:kern w:val="0"/>
                <w:sz w:val="21"/>
                <w:szCs w:val="21"/>
              </w:rPr>
            </w:pPr>
          </w:p>
        </w:tc>
        <w:tc>
          <w:tcPr>
            <w:tcW w:w="4768" w:type="dxa"/>
            <w:noWrap w:val="0"/>
            <w:vAlign w:val="center"/>
          </w:tcPr>
          <w:p>
            <w:pPr>
              <w:widowControl/>
              <w:adjustRightInd w:val="0"/>
              <w:snapToGrid w:val="0"/>
              <w:ind w:firstLine="630" w:firstLineChars="300"/>
              <w:jc w:val="center"/>
              <w:textAlignment w:val="center"/>
              <w:rPr>
                <w:rFonts w:eastAsia="宋体"/>
                <w:color w:val="000000"/>
                <w:kern w:val="0"/>
                <w:sz w:val="21"/>
                <w:szCs w:val="21"/>
              </w:rPr>
            </w:pPr>
            <w:r>
              <w:rPr>
                <w:rFonts w:eastAsia="宋体"/>
                <w:color w:val="000000"/>
                <w:kern w:val="0"/>
                <w:sz w:val="21"/>
                <w:szCs w:val="21"/>
              </w:rPr>
              <w:t>服务第三产业人数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学校填报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35</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合作企业接收教师企业实践人数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36</w:t>
            </w:r>
          </w:p>
        </w:tc>
        <w:tc>
          <w:tcPr>
            <w:tcW w:w="4768"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合作企业接收学生实习比例</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7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100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37</w:t>
            </w:r>
          </w:p>
        </w:tc>
        <w:tc>
          <w:tcPr>
            <w:tcW w:w="476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企业对学校捐赠设备总值</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万元</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38</w:t>
            </w:r>
          </w:p>
        </w:tc>
        <w:tc>
          <w:tcPr>
            <w:tcW w:w="4768"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接收国际学生人数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人</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39</w:t>
            </w:r>
          </w:p>
        </w:tc>
        <w:tc>
          <w:tcPr>
            <w:tcW w:w="4768"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开展分段培养中外合作专业数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个</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6" w:hRule="atLeast"/>
          <w:jc w:val="center"/>
        </w:trPr>
        <w:tc>
          <w:tcPr>
            <w:tcW w:w="70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40</w:t>
            </w:r>
          </w:p>
        </w:tc>
        <w:tc>
          <w:tcPr>
            <w:tcW w:w="4768" w:type="dxa"/>
            <w:noWrap w:val="0"/>
            <w:vAlign w:val="center"/>
          </w:tcPr>
          <w:p>
            <w:pPr>
              <w:widowControl/>
              <w:adjustRightInd w:val="0"/>
              <w:snapToGrid w:val="0"/>
              <w:jc w:val="center"/>
              <w:textAlignment w:val="top"/>
              <w:rPr>
                <w:rFonts w:eastAsia="宋体"/>
                <w:color w:val="000000"/>
                <w:kern w:val="0"/>
                <w:sz w:val="21"/>
                <w:szCs w:val="21"/>
              </w:rPr>
            </w:pPr>
            <w:r>
              <w:rPr>
                <w:rStyle w:val="13"/>
                <w:rFonts w:hint="default"/>
                <w:color w:val="000000"/>
                <w:kern w:val="0"/>
                <w:sz w:val="21"/>
                <w:szCs w:val="21"/>
              </w:rPr>
              <w:t>开发并被国</w:t>
            </w:r>
            <w:r>
              <w:rPr>
                <w:rStyle w:val="14"/>
                <w:b w:val="0"/>
                <w:bCs w:val="0"/>
                <w:color w:val="000000"/>
                <w:kern w:val="0"/>
                <w:sz w:val="21"/>
                <w:szCs w:val="21"/>
              </w:rPr>
              <w:t xml:space="preserve"> </w:t>
            </w:r>
            <w:r>
              <w:rPr>
                <w:rStyle w:val="13"/>
                <w:rFonts w:hint="default"/>
                <w:color w:val="000000"/>
                <w:kern w:val="0"/>
                <w:sz w:val="21"/>
                <w:szCs w:val="21"/>
              </w:rPr>
              <w:t>（境）外采用的课程数</w:t>
            </w:r>
          </w:p>
        </w:tc>
        <w:tc>
          <w:tcPr>
            <w:tcW w:w="834"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门</w:t>
            </w:r>
          </w:p>
        </w:tc>
        <w:tc>
          <w:tcPr>
            <w:tcW w:w="1170"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0</w:t>
            </w:r>
          </w:p>
        </w:tc>
        <w:tc>
          <w:tcPr>
            <w:tcW w:w="123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引用</w:t>
            </w:r>
          </w:p>
        </w:tc>
      </w:tr>
    </w:tbl>
    <w:p>
      <w:pPr>
        <w:jc w:val="center"/>
        <w:outlineLvl w:val="2"/>
        <w:rPr>
          <w:rFonts w:hint="eastAsia" w:ascii="仿宋_GB2312" w:hAnsi="仿宋_GB2312" w:eastAsia="仿宋_GB2312" w:cs="仿宋_GB2312"/>
          <w:b/>
          <w:bCs/>
          <w:snapToGrid w:val="0"/>
          <w:color w:val="000000"/>
          <w:spacing w:val="0"/>
          <w:kern w:val="0"/>
          <w:sz w:val="32"/>
          <w:szCs w:val="32"/>
        </w:rPr>
      </w:pPr>
      <w:r>
        <w:rPr>
          <w:rFonts w:hint="eastAsia" w:ascii="仿宋_GB2312" w:hAnsi="仿宋_GB2312" w:eastAsia="仿宋_GB2312" w:cs="仿宋_GB2312"/>
          <w:b/>
          <w:bCs/>
          <w:snapToGrid w:val="0"/>
          <w:color w:val="000000"/>
          <w:spacing w:val="0"/>
          <w:kern w:val="0"/>
          <w:sz w:val="32"/>
          <w:szCs w:val="32"/>
        </w:rPr>
        <w:t>表2 中等职业教育满意度调查表</w:t>
      </w:r>
    </w:p>
    <w:p>
      <w:pPr>
        <w:ind w:firstLine="280" w:firstLineChars="100"/>
        <w:jc w:val="left"/>
        <w:outlineLvl w:val="3"/>
        <w:rPr>
          <w:rFonts w:hint="eastAsia" w:ascii="Nimbus Roman" w:hAnsi="Nimbus Roman" w:eastAsia="宋体" w:cs="Nimbus Roman"/>
          <w:color w:val="000000"/>
          <w:sz w:val="28"/>
          <w:szCs w:val="28"/>
          <w:lang w:eastAsia="zh-CN"/>
        </w:rPr>
      </w:pPr>
      <w:r>
        <w:rPr>
          <w:rFonts w:ascii="Nimbus Roman" w:hAnsi="Nimbus Roman" w:cs="Nimbus Roman"/>
          <w:color w:val="000000"/>
          <w:sz w:val="28"/>
          <w:szCs w:val="28"/>
        </w:rPr>
        <w:t>名称：</w:t>
      </w:r>
      <w:r>
        <w:rPr>
          <w:rFonts w:hint="eastAsia" w:ascii="Nimbus Roman" w:hAnsi="Nimbus Roman" w:cs="Nimbus Roman"/>
          <w:color w:val="000000"/>
          <w:sz w:val="28"/>
          <w:szCs w:val="28"/>
          <w:lang w:eastAsia="zh-CN"/>
        </w:rPr>
        <w:t>渭南市红星中等职业学校</w:t>
      </w:r>
    </w:p>
    <w:tbl>
      <w:tblPr>
        <w:tblStyle w:val="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8"/>
        <w:gridCol w:w="2965"/>
        <w:gridCol w:w="709"/>
        <w:gridCol w:w="1130"/>
        <w:gridCol w:w="1431"/>
        <w:gridCol w:w="16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tblHeader/>
          <w:jc w:val="center"/>
        </w:trPr>
        <w:tc>
          <w:tcPr>
            <w:tcW w:w="698"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序号</w:t>
            </w:r>
          </w:p>
        </w:tc>
        <w:tc>
          <w:tcPr>
            <w:tcW w:w="2965"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指标</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单位</w:t>
            </w:r>
          </w:p>
        </w:tc>
        <w:tc>
          <w:tcPr>
            <w:tcW w:w="1130"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2022年</w:t>
            </w:r>
          </w:p>
        </w:tc>
        <w:tc>
          <w:tcPr>
            <w:tcW w:w="1431"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调查人次</w:t>
            </w:r>
          </w:p>
        </w:tc>
        <w:tc>
          <w:tcPr>
            <w:tcW w:w="1603"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调查方式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698" w:type="dxa"/>
            <w:vMerge w:val="restart"/>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1</w:t>
            </w: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在校生满意度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98</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168</w:t>
            </w:r>
          </w:p>
        </w:tc>
        <w:tc>
          <w:tcPr>
            <w:tcW w:w="1603" w:type="dxa"/>
            <w:noWrap w:val="0"/>
            <w:vAlign w:val="center"/>
          </w:tcPr>
          <w:p>
            <w:pPr>
              <w:adjustRightInd w:val="0"/>
              <w:snapToGrid w:val="0"/>
              <w:jc w:val="center"/>
              <w:outlineLvl w:val="1"/>
              <w:rPr>
                <w:rFonts w:hint="eastAsia" w:eastAsia="宋体"/>
                <w:color w:val="000000"/>
                <w:kern w:val="0"/>
                <w:sz w:val="21"/>
                <w:szCs w:val="21"/>
                <w:lang w:val="en-US" w:eastAsia="zh-CN"/>
              </w:rPr>
            </w:pPr>
            <w:r>
              <w:rPr>
                <w:rFonts w:hint="eastAsia"/>
                <w:color w:val="000000"/>
                <w:kern w:val="0"/>
                <w:sz w:val="21"/>
                <w:szCs w:val="21"/>
                <w:lang w:val="en-US" w:eastAsia="zh-CN"/>
              </w:rPr>
              <w:t>问卷调查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jc w:val="center"/>
        </w:trPr>
        <w:tc>
          <w:tcPr>
            <w:tcW w:w="698" w:type="dxa"/>
            <w:vMerge w:val="continue"/>
            <w:noWrap w:val="0"/>
            <w:vAlign w:val="center"/>
          </w:tcPr>
          <w:p>
            <w:pPr>
              <w:widowControl/>
              <w:adjustRightInd w:val="0"/>
              <w:snapToGrid w:val="0"/>
              <w:jc w:val="center"/>
              <w:textAlignment w:val="center"/>
              <w:rPr>
                <w:rFonts w:eastAsia="宋体"/>
                <w:color w:val="000000"/>
                <w:kern w:val="0"/>
                <w:sz w:val="21"/>
                <w:szCs w:val="21"/>
              </w:rPr>
            </w:pP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其中：课堂育人满意度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97</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168</w:t>
            </w:r>
          </w:p>
        </w:tc>
        <w:tc>
          <w:tcPr>
            <w:tcW w:w="1603" w:type="dxa"/>
            <w:noWrap w:val="0"/>
            <w:vAlign w:val="center"/>
          </w:tcPr>
          <w:p>
            <w:pPr>
              <w:adjustRightInd w:val="0"/>
              <w:snapToGrid w:val="0"/>
              <w:jc w:val="center"/>
              <w:outlineLvl w:val="1"/>
              <w:rPr>
                <w:rFonts w:hint="eastAsia" w:eastAsia="宋体"/>
                <w:color w:val="000000"/>
                <w:kern w:val="0"/>
                <w:sz w:val="21"/>
                <w:szCs w:val="21"/>
                <w:lang w:eastAsia="zh-CN"/>
              </w:rPr>
            </w:pPr>
            <w:r>
              <w:rPr>
                <w:rFonts w:hint="eastAsia"/>
                <w:color w:val="000000"/>
                <w:kern w:val="0"/>
                <w:sz w:val="21"/>
                <w:szCs w:val="21"/>
                <w:lang w:eastAsia="zh-CN"/>
              </w:rPr>
              <w:t>问卷调查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698" w:type="dxa"/>
            <w:vMerge w:val="continue"/>
            <w:noWrap w:val="0"/>
            <w:vAlign w:val="center"/>
          </w:tcPr>
          <w:p>
            <w:pPr>
              <w:widowControl/>
              <w:adjustRightInd w:val="0"/>
              <w:snapToGrid w:val="0"/>
              <w:jc w:val="center"/>
              <w:textAlignment w:val="center"/>
              <w:rPr>
                <w:rFonts w:eastAsia="宋体"/>
                <w:color w:val="000000"/>
                <w:kern w:val="0"/>
                <w:sz w:val="21"/>
                <w:szCs w:val="21"/>
              </w:rPr>
            </w:pP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课外育人满意度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98</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168</w:t>
            </w:r>
          </w:p>
        </w:tc>
        <w:tc>
          <w:tcPr>
            <w:tcW w:w="1603" w:type="dxa"/>
            <w:noWrap w:val="0"/>
            <w:vAlign w:val="center"/>
          </w:tcPr>
          <w:p>
            <w:pPr>
              <w:adjustRightInd w:val="0"/>
              <w:snapToGrid w:val="0"/>
              <w:jc w:val="center"/>
              <w:outlineLvl w:val="1"/>
              <w:rPr>
                <w:rFonts w:hint="eastAsia" w:eastAsia="宋体"/>
                <w:color w:val="000000"/>
                <w:kern w:val="0"/>
                <w:sz w:val="21"/>
                <w:szCs w:val="21"/>
                <w:lang w:eastAsia="zh-CN"/>
              </w:rPr>
            </w:pPr>
            <w:r>
              <w:rPr>
                <w:rFonts w:hint="eastAsia"/>
                <w:color w:val="000000"/>
                <w:kern w:val="0"/>
                <w:sz w:val="21"/>
                <w:szCs w:val="21"/>
                <w:lang w:eastAsia="zh-CN"/>
              </w:rPr>
              <w:t>问卷调查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698" w:type="dxa"/>
            <w:vMerge w:val="continue"/>
            <w:noWrap w:val="0"/>
            <w:vAlign w:val="center"/>
          </w:tcPr>
          <w:p>
            <w:pPr>
              <w:widowControl/>
              <w:adjustRightInd w:val="0"/>
              <w:snapToGrid w:val="0"/>
              <w:jc w:val="center"/>
              <w:textAlignment w:val="center"/>
              <w:rPr>
                <w:rFonts w:eastAsia="宋体"/>
                <w:color w:val="000000"/>
                <w:kern w:val="0"/>
                <w:sz w:val="21"/>
                <w:szCs w:val="21"/>
              </w:rPr>
            </w:pP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思想政治课教学满意度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97</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168</w:t>
            </w:r>
          </w:p>
        </w:tc>
        <w:tc>
          <w:tcPr>
            <w:tcW w:w="1603" w:type="dxa"/>
            <w:noWrap w:val="0"/>
            <w:vAlign w:val="center"/>
          </w:tcPr>
          <w:p>
            <w:pPr>
              <w:adjustRightInd w:val="0"/>
              <w:snapToGrid w:val="0"/>
              <w:jc w:val="center"/>
              <w:outlineLvl w:val="1"/>
              <w:rPr>
                <w:rFonts w:eastAsia="宋体"/>
                <w:color w:val="000000"/>
                <w:kern w:val="0"/>
                <w:sz w:val="21"/>
                <w:szCs w:val="21"/>
              </w:rPr>
            </w:pPr>
            <w:r>
              <w:rPr>
                <w:rFonts w:hint="eastAsia"/>
                <w:color w:val="000000"/>
                <w:kern w:val="0"/>
                <w:sz w:val="21"/>
                <w:szCs w:val="21"/>
                <w:lang w:eastAsia="zh-CN"/>
              </w:rPr>
              <w:t>问卷调查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698" w:type="dxa"/>
            <w:vMerge w:val="continue"/>
            <w:noWrap w:val="0"/>
            <w:vAlign w:val="center"/>
          </w:tcPr>
          <w:p>
            <w:pPr>
              <w:widowControl/>
              <w:adjustRightInd w:val="0"/>
              <w:snapToGrid w:val="0"/>
              <w:jc w:val="center"/>
              <w:textAlignment w:val="center"/>
              <w:rPr>
                <w:rFonts w:eastAsia="宋体"/>
                <w:color w:val="000000"/>
                <w:kern w:val="0"/>
                <w:sz w:val="21"/>
                <w:szCs w:val="21"/>
              </w:rPr>
            </w:pP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公共基础课（不含思想政治课）教学满意度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98</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168</w:t>
            </w:r>
          </w:p>
        </w:tc>
        <w:tc>
          <w:tcPr>
            <w:tcW w:w="1603" w:type="dxa"/>
            <w:noWrap w:val="0"/>
            <w:vAlign w:val="center"/>
          </w:tcPr>
          <w:p>
            <w:pPr>
              <w:adjustRightInd w:val="0"/>
              <w:snapToGrid w:val="0"/>
              <w:jc w:val="center"/>
              <w:outlineLvl w:val="1"/>
              <w:rPr>
                <w:rFonts w:eastAsia="宋体"/>
                <w:color w:val="000000"/>
                <w:kern w:val="0"/>
                <w:sz w:val="21"/>
                <w:szCs w:val="21"/>
              </w:rPr>
            </w:pPr>
            <w:r>
              <w:rPr>
                <w:rFonts w:hint="eastAsia"/>
                <w:color w:val="000000"/>
                <w:kern w:val="0"/>
                <w:sz w:val="21"/>
                <w:szCs w:val="21"/>
                <w:lang w:eastAsia="zh-CN"/>
              </w:rPr>
              <w:t>问卷调查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698" w:type="dxa"/>
            <w:vMerge w:val="continue"/>
            <w:noWrap w:val="0"/>
            <w:vAlign w:val="center"/>
          </w:tcPr>
          <w:p>
            <w:pPr>
              <w:widowControl/>
              <w:adjustRightInd w:val="0"/>
              <w:snapToGrid w:val="0"/>
              <w:jc w:val="center"/>
              <w:textAlignment w:val="center"/>
              <w:rPr>
                <w:rFonts w:eastAsia="宋体"/>
                <w:color w:val="000000"/>
                <w:kern w:val="0"/>
                <w:sz w:val="21"/>
                <w:szCs w:val="21"/>
              </w:rPr>
            </w:pP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专业课教学满意度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99</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168</w:t>
            </w:r>
          </w:p>
        </w:tc>
        <w:tc>
          <w:tcPr>
            <w:tcW w:w="1603" w:type="dxa"/>
            <w:noWrap w:val="0"/>
            <w:vAlign w:val="center"/>
          </w:tcPr>
          <w:p>
            <w:pPr>
              <w:adjustRightInd w:val="0"/>
              <w:snapToGrid w:val="0"/>
              <w:jc w:val="center"/>
              <w:outlineLvl w:val="1"/>
              <w:rPr>
                <w:rFonts w:eastAsia="宋体"/>
                <w:color w:val="000000"/>
                <w:kern w:val="0"/>
                <w:sz w:val="21"/>
                <w:szCs w:val="21"/>
              </w:rPr>
            </w:pPr>
            <w:r>
              <w:rPr>
                <w:rFonts w:hint="eastAsia"/>
                <w:color w:val="000000"/>
                <w:kern w:val="0"/>
                <w:sz w:val="21"/>
                <w:szCs w:val="21"/>
                <w:lang w:eastAsia="zh-CN"/>
              </w:rPr>
              <w:t>问卷调查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698" w:type="dxa"/>
            <w:vMerge w:val="restart"/>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2</w:t>
            </w: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毕业生满意度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431" w:type="dxa"/>
            <w:noWrap w:val="0"/>
            <w:vAlign w:val="center"/>
          </w:tcPr>
          <w:p>
            <w:pPr>
              <w:adjustRightInd w:val="0"/>
              <w:snapToGrid w:val="0"/>
              <w:jc w:val="center"/>
              <w:outlineLvl w:val="1"/>
              <w:rPr>
                <w:rFonts w:eastAsia="宋体"/>
                <w:color w:val="000000"/>
                <w:kern w:val="0"/>
                <w:sz w:val="21"/>
                <w:szCs w:val="21"/>
              </w:rPr>
            </w:pPr>
          </w:p>
        </w:tc>
        <w:tc>
          <w:tcPr>
            <w:tcW w:w="1603"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698" w:type="dxa"/>
            <w:vMerge w:val="continue"/>
            <w:noWrap w:val="0"/>
            <w:vAlign w:val="center"/>
          </w:tcPr>
          <w:p>
            <w:pPr>
              <w:widowControl/>
              <w:adjustRightInd w:val="0"/>
              <w:snapToGrid w:val="0"/>
              <w:jc w:val="center"/>
              <w:textAlignment w:val="center"/>
              <w:rPr>
                <w:rFonts w:eastAsia="宋体"/>
                <w:color w:val="000000"/>
                <w:kern w:val="0"/>
                <w:sz w:val="21"/>
                <w:szCs w:val="21"/>
              </w:rPr>
            </w:pPr>
          </w:p>
        </w:tc>
        <w:tc>
          <w:tcPr>
            <w:tcW w:w="2965" w:type="dxa"/>
            <w:noWrap w:val="0"/>
            <w:vAlign w:val="center"/>
          </w:tcPr>
          <w:p>
            <w:pPr>
              <w:widowControl/>
              <w:adjustRightInd w:val="0"/>
              <w:snapToGrid w:val="0"/>
              <w:ind w:left="618" w:hanging="630" w:hangingChars="300"/>
              <w:jc w:val="center"/>
              <w:textAlignment w:val="top"/>
              <w:rPr>
                <w:rFonts w:eastAsia="宋体"/>
                <w:color w:val="000000"/>
                <w:kern w:val="0"/>
                <w:sz w:val="21"/>
                <w:szCs w:val="21"/>
              </w:rPr>
            </w:pPr>
            <w:r>
              <w:rPr>
                <w:rFonts w:eastAsia="宋体"/>
                <w:color w:val="000000"/>
                <w:kern w:val="0"/>
                <w:sz w:val="21"/>
                <w:szCs w:val="21"/>
              </w:rPr>
              <w:t>其中：应届毕业生满意度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100</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28</w:t>
            </w:r>
          </w:p>
        </w:tc>
        <w:tc>
          <w:tcPr>
            <w:tcW w:w="1603" w:type="dxa"/>
            <w:noWrap w:val="0"/>
            <w:vAlign w:val="center"/>
          </w:tcPr>
          <w:p>
            <w:pPr>
              <w:adjustRightInd w:val="0"/>
              <w:snapToGrid w:val="0"/>
              <w:jc w:val="center"/>
              <w:outlineLvl w:val="1"/>
              <w:rPr>
                <w:rFonts w:eastAsia="宋体"/>
                <w:color w:val="000000"/>
                <w:kern w:val="0"/>
                <w:sz w:val="21"/>
                <w:szCs w:val="21"/>
              </w:rPr>
            </w:pPr>
            <w:r>
              <w:rPr>
                <w:rFonts w:hint="eastAsia"/>
                <w:color w:val="000000"/>
                <w:kern w:val="0"/>
                <w:sz w:val="21"/>
                <w:szCs w:val="21"/>
                <w:lang w:eastAsia="zh-CN"/>
              </w:rPr>
              <w:t>线上问卷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698" w:type="dxa"/>
            <w:vMerge w:val="continue"/>
            <w:noWrap w:val="0"/>
            <w:vAlign w:val="center"/>
          </w:tcPr>
          <w:p>
            <w:pPr>
              <w:widowControl/>
              <w:adjustRightInd w:val="0"/>
              <w:snapToGrid w:val="0"/>
              <w:jc w:val="center"/>
              <w:textAlignment w:val="center"/>
              <w:rPr>
                <w:rFonts w:eastAsia="宋体"/>
                <w:color w:val="000000"/>
                <w:kern w:val="0"/>
                <w:sz w:val="21"/>
                <w:szCs w:val="21"/>
              </w:rPr>
            </w:pP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毕业三年内毕业生满意度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85</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82</w:t>
            </w:r>
          </w:p>
        </w:tc>
        <w:tc>
          <w:tcPr>
            <w:tcW w:w="1603" w:type="dxa"/>
            <w:noWrap w:val="0"/>
            <w:vAlign w:val="center"/>
          </w:tcPr>
          <w:p>
            <w:pPr>
              <w:adjustRightInd w:val="0"/>
              <w:snapToGrid w:val="0"/>
              <w:jc w:val="center"/>
              <w:outlineLvl w:val="1"/>
              <w:rPr>
                <w:rFonts w:hint="eastAsia" w:eastAsia="宋体"/>
                <w:color w:val="000000"/>
                <w:kern w:val="0"/>
                <w:sz w:val="21"/>
                <w:szCs w:val="21"/>
                <w:lang w:eastAsia="zh-CN"/>
              </w:rPr>
            </w:pPr>
            <w:r>
              <w:rPr>
                <w:rFonts w:hint="eastAsia"/>
                <w:color w:val="000000"/>
                <w:kern w:val="0"/>
                <w:sz w:val="21"/>
                <w:szCs w:val="21"/>
                <w:lang w:eastAsia="zh-CN"/>
              </w:rPr>
              <w:t>线上问卷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69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3</w:t>
            </w: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教职工满意度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100</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36</w:t>
            </w:r>
          </w:p>
        </w:tc>
        <w:tc>
          <w:tcPr>
            <w:tcW w:w="1603" w:type="dxa"/>
            <w:noWrap w:val="0"/>
            <w:vAlign w:val="center"/>
          </w:tcPr>
          <w:p>
            <w:pPr>
              <w:adjustRightInd w:val="0"/>
              <w:snapToGrid w:val="0"/>
              <w:jc w:val="center"/>
              <w:outlineLvl w:val="1"/>
              <w:rPr>
                <w:rFonts w:hint="eastAsia" w:eastAsia="宋体"/>
                <w:color w:val="000000"/>
                <w:kern w:val="0"/>
                <w:sz w:val="21"/>
                <w:szCs w:val="21"/>
                <w:lang w:eastAsia="zh-CN"/>
              </w:rPr>
            </w:pPr>
            <w:r>
              <w:rPr>
                <w:rFonts w:hint="eastAsia"/>
                <w:color w:val="000000"/>
                <w:kern w:val="0"/>
                <w:sz w:val="21"/>
                <w:szCs w:val="21"/>
                <w:lang w:eastAsia="zh-CN"/>
              </w:rPr>
              <w:t>问卷调查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5" w:hRule="atLeast"/>
          <w:jc w:val="center"/>
        </w:trPr>
        <w:tc>
          <w:tcPr>
            <w:tcW w:w="69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4</w:t>
            </w: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用人单位满意度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96</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54</w:t>
            </w:r>
          </w:p>
        </w:tc>
        <w:tc>
          <w:tcPr>
            <w:tcW w:w="1603" w:type="dxa"/>
            <w:noWrap w:val="0"/>
            <w:vAlign w:val="center"/>
          </w:tcPr>
          <w:p>
            <w:pPr>
              <w:adjustRightInd w:val="0"/>
              <w:snapToGrid w:val="0"/>
              <w:jc w:val="center"/>
              <w:outlineLvl w:val="1"/>
              <w:rPr>
                <w:rFonts w:eastAsia="宋体"/>
                <w:color w:val="000000"/>
                <w:kern w:val="0"/>
                <w:sz w:val="21"/>
                <w:szCs w:val="21"/>
              </w:rPr>
            </w:pPr>
            <w:r>
              <w:rPr>
                <w:rFonts w:hint="eastAsia"/>
                <w:color w:val="000000"/>
                <w:kern w:val="0"/>
                <w:sz w:val="21"/>
                <w:szCs w:val="21"/>
                <w:lang w:eastAsia="zh-CN"/>
              </w:rPr>
              <w:t>线上问卷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4" w:hRule="atLeast"/>
          <w:jc w:val="center"/>
        </w:trPr>
        <w:tc>
          <w:tcPr>
            <w:tcW w:w="698" w:type="dxa"/>
            <w:noWrap w:val="0"/>
            <w:vAlign w:val="center"/>
          </w:tcPr>
          <w:p>
            <w:pPr>
              <w:widowControl/>
              <w:adjustRightInd w:val="0"/>
              <w:snapToGrid w:val="0"/>
              <w:jc w:val="center"/>
              <w:textAlignment w:val="center"/>
              <w:rPr>
                <w:rFonts w:eastAsia="宋体"/>
                <w:color w:val="000000"/>
                <w:kern w:val="0"/>
                <w:sz w:val="21"/>
                <w:szCs w:val="21"/>
              </w:rPr>
            </w:pPr>
            <w:r>
              <w:rPr>
                <w:rFonts w:eastAsia="宋体"/>
                <w:color w:val="000000"/>
                <w:kern w:val="0"/>
                <w:sz w:val="21"/>
                <w:szCs w:val="21"/>
              </w:rPr>
              <w:t>5</w:t>
            </w:r>
          </w:p>
        </w:tc>
        <w:tc>
          <w:tcPr>
            <w:tcW w:w="2965" w:type="dxa"/>
            <w:noWrap w:val="0"/>
            <w:vAlign w:val="center"/>
          </w:tcPr>
          <w:p>
            <w:pPr>
              <w:widowControl/>
              <w:adjustRightInd w:val="0"/>
              <w:snapToGrid w:val="0"/>
              <w:jc w:val="center"/>
              <w:textAlignment w:val="top"/>
              <w:rPr>
                <w:rFonts w:eastAsia="宋体"/>
                <w:color w:val="000000"/>
                <w:kern w:val="0"/>
                <w:sz w:val="21"/>
                <w:szCs w:val="21"/>
              </w:rPr>
            </w:pPr>
            <w:r>
              <w:rPr>
                <w:rFonts w:eastAsia="宋体"/>
                <w:color w:val="000000"/>
                <w:kern w:val="0"/>
                <w:sz w:val="21"/>
                <w:szCs w:val="21"/>
              </w:rPr>
              <w:t>家长满意度</w:t>
            </w:r>
          </w:p>
        </w:tc>
        <w:tc>
          <w:tcPr>
            <w:tcW w:w="709" w:type="dxa"/>
            <w:noWrap w:val="0"/>
            <w:vAlign w:val="center"/>
          </w:tcPr>
          <w:p>
            <w:pPr>
              <w:adjustRightInd w:val="0"/>
              <w:snapToGrid w:val="0"/>
              <w:jc w:val="center"/>
              <w:outlineLvl w:val="1"/>
              <w:rPr>
                <w:rFonts w:eastAsia="宋体"/>
                <w:color w:val="000000"/>
                <w:kern w:val="0"/>
                <w:sz w:val="21"/>
                <w:szCs w:val="21"/>
              </w:rPr>
            </w:pPr>
            <w:r>
              <w:rPr>
                <w:rFonts w:eastAsia="宋体"/>
                <w:color w:val="000000"/>
                <w:kern w:val="0"/>
                <w:sz w:val="21"/>
                <w:szCs w:val="21"/>
              </w:rPr>
              <w:t>%</w:t>
            </w:r>
          </w:p>
        </w:tc>
        <w:tc>
          <w:tcPr>
            <w:tcW w:w="1130"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80</w:t>
            </w:r>
          </w:p>
        </w:tc>
        <w:tc>
          <w:tcPr>
            <w:tcW w:w="1431" w:type="dxa"/>
            <w:noWrap w:val="0"/>
            <w:vAlign w:val="center"/>
          </w:tcPr>
          <w:p>
            <w:pPr>
              <w:adjustRightInd w:val="0"/>
              <w:snapToGrid w:val="0"/>
              <w:jc w:val="center"/>
              <w:outlineLvl w:val="1"/>
              <w:rPr>
                <w:rFonts w:hint="default" w:eastAsia="宋体"/>
                <w:color w:val="000000"/>
                <w:kern w:val="0"/>
                <w:sz w:val="21"/>
                <w:szCs w:val="21"/>
                <w:lang w:val="en-US" w:eastAsia="zh-CN"/>
              </w:rPr>
            </w:pPr>
            <w:r>
              <w:rPr>
                <w:rFonts w:hint="eastAsia"/>
                <w:color w:val="000000"/>
                <w:kern w:val="0"/>
                <w:sz w:val="21"/>
                <w:szCs w:val="21"/>
                <w:lang w:val="en-US" w:eastAsia="zh-CN"/>
              </w:rPr>
              <w:t>165</w:t>
            </w:r>
          </w:p>
        </w:tc>
        <w:tc>
          <w:tcPr>
            <w:tcW w:w="1603" w:type="dxa"/>
            <w:noWrap w:val="0"/>
            <w:vAlign w:val="center"/>
          </w:tcPr>
          <w:p>
            <w:pPr>
              <w:adjustRightInd w:val="0"/>
              <w:snapToGrid w:val="0"/>
              <w:jc w:val="center"/>
              <w:outlineLvl w:val="1"/>
              <w:rPr>
                <w:rFonts w:hint="eastAsia" w:eastAsia="宋体"/>
                <w:color w:val="000000"/>
                <w:kern w:val="0"/>
                <w:sz w:val="21"/>
                <w:szCs w:val="21"/>
                <w:lang w:eastAsia="zh-CN"/>
              </w:rPr>
            </w:pPr>
            <w:r>
              <w:rPr>
                <w:rFonts w:hint="eastAsia"/>
                <w:color w:val="000000"/>
                <w:kern w:val="0"/>
                <w:sz w:val="21"/>
                <w:szCs w:val="21"/>
                <w:lang w:eastAsia="zh-CN"/>
              </w:rPr>
              <w:t>线上问卷</w:t>
            </w:r>
          </w:p>
        </w:tc>
      </w:tr>
    </w:tbl>
    <w:p>
      <w:pPr>
        <w:keepNext w:val="0"/>
        <w:keepLines w:val="0"/>
        <w:pageBreakBefore w:val="0"/>
        <w:kinsoku/>
        <w:wordWrap/>
        <w:overflowPunct w:val="0"/>
        <w:topLinePunct w:val="0"/>
        <w:autoSpaceDE/>
        <w:autoSpaceDN/>
        <w:bidi w:val="0"/>
        <w:adjustRightInd/>
        <w:textAlignment w:val="auto"/>
        <w:rPr>
          <w:color w:val="auto"/>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微软雅黑">
    <w:panose1 w:val="020B0503020204020204"/>
    <w:charset w:val="86"/>
    <w:family w:val="swiss"/>
    <w:pitch w:val="default"/>
    <w:sig w:usb0="80000287" w:usb1="280F3C52" w:usb2="00000016" w:usb3="00000000" w:csb0="0004001F" w:csb1="00000000"/>
  </w:font>
  <w:font w:name="Nimbus Roman">
    <w:altName w:val="Segoe Print"/>
    <w:panose1 w:val="00000000000000000000"/>
    <w:charset w:val="00"/>
    <w:family w:val="auto"/>
    <w:pitch w:val="default"/>
    <w:sig w:usb0="00000000" w:usb1="00000000" w:usb2="00000000" w:usb3="00000000" w:csb0="6000009F"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M4YmU0MjZkNDVjZTMwZTI5MjNlZDI5ZWI5ZmU0MGMifQ=="/>
  </w:docVars>
  <w:rsids>
    <w:rsidRoot w:val="2E87765A"/>
    <w:rsid w:val="002431DF"/>
    <w:rsid w:val="003B27B4"/>
    <w:rsid w:val="003E17DD"/>
    <w:rsid w:val="004B08F5"/>
    <w:rsid w:val="004C5B67"/>
    <w:rsid w:val="004D76B4"/>
    <w:rsid w:val="00661E7C"/>
    <w:rsid w:val="0068648E"/>
    <w:rsid w:val="0069461A"/>
    <w:rsid w:val="006A5FB0"/>
    <w:rsid w:val="006E610D"/>
    <w:rsid w:val="008E346B"/>
    <w:rsid w:val="00982FAB"/>
    <w:rsid w:val="00AC763A"/>
    <w:rsid w:val="00AD7F23"/>
    <w:rsid w:val="00AF37C5"/>
    <w:rsid w:val="00B07612"/>
    <w:rsid w:val="00B21EE9"/>
    <w:rsid w:val="00B24C32"/>
    <w:rsid w:val="00B7117B"/>
    <w:rsid w:val="00BB2912"/>
    <w:rsid w:val="00BD6EDA"/>
    <w:rsid w:val="00C8166E"/>
    <w:rsid w:val="00CA26D4"/>
    <w:rsid w:val="00CB1989"/>
    <w:rsid w:val="00D96F67"/>
    <w:rsid w:val="00E15E72"/>
    <w:rsid w:val="00E31471"/>
    <w:rsid w:val="00EE4E62"/>
    <w:rsid w:val="00F75235"/>
    <w:rsid w:val="00FB1925"/>
    <w:rsid w:val="030B6598"/>
    <w:rsid w:val="034C72DC"/>
    <w:rsid w:val="03F430DA"/>
    <w:rsid w:val="06DF5D71"/>
    <w:rsid w:val="06F07F7E"/>
    <w:rsid w:val="07F04785"/>
    <w:rsid w:val="09457FB4"/>
    <w:rsid w:val="0ACF434F"/>
    <w:rsid w:val="0D6E78E5"/>
    <w:rsid w:val="0D8256A8"/>
    <w:rsid w:val="0F996781"/>
    <w:rsid w:val="101510DA"/>
    <w:rsid w:val="10971145"/>
    <w:rsid w:val="11C8719E"/>
    <w:rsid w:val="11DD55A3"/>
    <w:rsid w:val="1283439D"/>
    <w:rsid w:val="12F11675"/>
    <w:rsid w:val="13F82B68"/>
    <w:rsid w:val="14474E91"/>
    <w:rsid w:val="14F15ECF"/>
    <w:rsid w:val="172201DE"/>
    <w:rsid w:val="17981F4E"/>
    <w:rsid w:val="187D53EA"/>
    <w:rsid w:val="1A136006"/>
    <w:rsid w:val="1D497F91"/>
    <w:rsid w:val="1E7A6D90"/>
    <w:rsid w:val="1EA01E32"/>
    <w:rsid w:val="1FDC50EC"/>
    <w:rsid w:val="1FED175A"/>
    <w:rsid w:val="22376996"/>
    <w:rsid w:val="22706E7B"/>
    <w:rsid w:val="231317CE"/>
    <w:rsid w:val="2351194D"/>
    <w:rsid w:val="24047B0B"/>
    <w:rsid w:val="241A4943"/>
    <w:rsid w:val="24615B01"/>
    <w:rsid w:val="25AE2D8F"/>
    <w:rsid w:val="263E7FDC"/>
    <w:rsid w:val="278A4EBF"/>
    <w:rsid w:val="2A150F57"/>
    <w:rsid w:val="2AFF3261"/>
    <w:rsid w:val="2E87765A"/>
    <w:rsid w:val="2E953036"/>
    <w:rsid w:val="30B71989"/>
    <w:rsid w:val="32425283"/>
    <w:rsid w:val="32603439"/>
    <w:rsid w:val="329B43AF"/>
    <w:rsid w:val="33175B8F"/>
    <w:rsid w:val="33226C9E"/>
    <w:rsid w:val="33F00D0E"/>
    <w:rsid w:val="34C973C2"/>
    <w:rsid w:val="34D75F6F"/>
    <w:rsid w:val="354075FD"/>
    <w:rsid w:val="354B444E"/>
    <w:rsid w:val="355A1660"/>
    <w:rsid w:val="3640298B"/>
    <w:rsid w:val="36D451CC"/>
    <w:rsid w:val="3BF33A92"/>
    <w:rsid w:val="3C816747"/>
    <w:rsid w:val="3E0751DF"/>
    <w:rsid w:val="3F4F0FDF"/>
    <w:rsid w:val="4171232D"/>
    <w:rsid w:val="41FB36A0"/>
    <w:rsid w:val="42436F6E"/>
    <w:rsid w:val="42B07C96"/>
    <w:rsid w:val="42C122AC"/>
    <w:rsid w:val="42D77C69"/>
    <w:rsid w:val="446F427D"/>
    <w:rsid w:val="447C73AC"/>
    <w:rsid w:val="44FC7513"/>
    <w:rsid w:val="453942C3"/>
    <w:rsid w:val="462F56C6"/>
    <w:rsid w:val="477E06B3"/>
    <w:rsid w:val="47953DE7"/>
    <w:rsid w:val="48C717C9"/>
    <w:rsid w:val="49C66341"/>
    <w:rsid w:val="4A5E48FC"/>
    <w:rsid w:val="4A745D9D"/>
    <w:rsid w:val="4B12315D"/>
    <w:rsid w:val="4D2E66D8"/>
    <w:rsid w:val="4D8E7176"/>
    <w:rsid w:val="4D98726D"/>
    <w:rsid w:val="507B60D8"/>
    <w:rsid w:val="51153F5B"/>
    <w:rsid w:val="514D2C9D"/>
    <w:rsid w:val="51AF413E"/>
    <w:rsid w:val="52C8137C"/>
    <w:rsid w:val="549F7EBB"/>
    <w:rsid w:val="56275CC5"/>
    <w:rsid w:val="576C542A"/>
    <w:rsid w:val="57710C7E"/>
    <w:rsid w:val="5888474E"/>
    <w:rsid w:val="5A3B2434"/>
    <w:rsid w:val="5B57329D"/>
    <w:rsid w:val="5D086F45"/>
    <w:rsid w:val="5DA327CA"/>
    <w:rsid w:val="5DE54B90"/>
    <w:rsid w:val="5EBC71D4"/>
    <w:rsid w:val="5EFA737F"/>
    <w:rsid w:val="5F2711D9"/>
    <w:rsid w:val="5FF90DC7"/>
    <w:rsid w:val="60C63ADF"/>
    <w:rsid w:val="61016B51"/>
    <w:rsid w:val="615D1191"/>
    <w:rsid w:val="62571DD5"/>
    <w:rsid w:val="634932AE"/>
    <w:rsid w:val="63F518A5"/>
    <w:rsid w:val="64243F39"/>
    <w:rsid w:val="64B85779"/>
    <w:rsid w:val="657F0AE8"/>
    <w:rsid w:val="66E11D3E"/>
    <w:rsid w:val="673E5311"/>
    <w:rsid w:val="6A3205AF"/>
    <w:rsid w:val="6A350976"/>
    <w:rsid w:val="6A5E5A25"/>
    <w:rsid w:val="6AA52814"/>
    <w:rsid w:val="6BDA7398"/>
    <w:rsid w:val="6DB620A5"/>
    <w:rsid w:val="6F0C7B91"/>
    <w:rsid w:val="6F3E2FDB"/>
    <w:rsid w:val="6F416E25"/>
    <w:rsid w:val="703D764A"/>
    <w:rsid w:val="70804FDB"/>
    <w:rsid w:val="72395053"/>
    <w:rsid w:val="7294672D"/>
    <w:rsid w:val="733D294E"/>
    <w:rsid w:val="73AC5328"/>
    <w:rsid w:val="73C37163"/>
    <w:rsid w:val="74314F68"/>
    <w:rsid w:val="744A79EB"/>
    <w:rsid w:val="75886850"/>
    <w:rsid w:val="75951D77"/>
    <w:rsid w:val="75D237F5"/>
    <w:rsid w:val="76564DF2"/>
    <w:rsid w:val="77014C86"/>
    <w:rsid w:val="783567EB"/>
    <w:rsid w:val="79131840"/>
    <w:rsid w:val="79BC0A44"/>
    <w:rsid w:val="7A547585"/>
    <w:rsid w:val="7C42040A"/>
    <w:rsid w:val="7D602ABC"/>
    <w:rsid w:val="7F7153B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widowControl/>
      <w:spacing w:before="100" w:beforeAutospacing="1" w:after="100" w:afterAutospacing="1"/>
      <w:jc w:val="left"/>
      <w:outlineLvl w:val="0"/>
    </w:pPr>
    <w:rPr>
      <w:rFonts w:ascii="宋体" w:hAnsi="宋体" w:cs="宋体"/>
      <w:b/>
      <w:bCs/>
      <w:kern w:val="36"/>
      <w:sz w:val="48"/>
      <w:szCs w:val="48"/>
    </w:rPr>
  </w:style>
  <w:style w:type="character" w:default="1" w:styleId="10">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5">
    <w:name w:val="toc 1"/>
    <w:basedOn w:val="1"/>
    <w:next w:val="1"/>
    <w:qFormat/>
    <w:uiPriority w:val="0"/>
  </w:style>
  <w:style w:type="paragraph" w:styleId="6">
    <w:name w:val="toc 2"/>
    <w:basedOn w:val="1"/>
    <w:next w:val="1"/>
    <w:qFormat/>
    <w:uiPriority w:val="0"/>
    <w:pPr>
      <w:ind w:left="420" w:leftChars="200"/>
    </w:pPr>
  </w:style>
  <w:style w:type="paragraph" w:styleId="7">
    <w:name w:val="Normal (Web)"/>
    <w:basedOn w:val="1"/>
    <w:qFormat/>
    <w:uiPriority w:val="0"/>
    <w:pPr>
      <w:spacing w:beforeAutospacing="1" w:afterAutospacing="1"/>
      <w:jc w:val="left"/>
    </w:pPr>
    <w:rPr>
      <w:rFonts w:cs="Times New Roman"/>
      <w:kern w:val="0"/>
      <w:sz w:val="24"/>
    </w:rPr>
  </w:style>
  <w:style w:type="table" w:styleId="9">
    <w:name w:val="Table Grid"/>
    <w:basedOn w:val="8"/>
    <w:qFormat/>
    <w:uiPriority w:val="0"/>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1">
    <w:name w:val="font31"/>
    <w:basedOn w:val="10"/>
    <w:qFormat/>
    <w:uiPriority w:val="0"/>
    <w:rPr>
      <w:rFonts w:hint="eastAsia" w:ascii="宋体" w:hAnsi="宋体" w:eastAsia="宋体" w:cs="宋体"/>
      <w:color w:val="C00000"/>
      <w:sz w:val="22"/>
      <w:szCs w:val="22"/>
      <w:u w:val="none"/>
    </w:rPr>
  </w:style>
  <w:style w:type="character" w:customStyle="1" w:styleId="12">
    <w:name w:val="font11"/>
    <w:basedOn w:val="10"/>
    <w:qFormat/>
    <w:uiPriority w:val="0"/>
    <w:rPr>
      <w:rFonts w:hint="eastAsia" w:ascii="宋体" w:hAnsi="宋体" w:eastAsia="宋体" w:cs="宋体"/>
      <w:b/>
      <w:bCs/>
      <w:color w:val="000000"/>
      <w:sz w:val="22"/>
      <w:szCs w:val="22"/>
      <w:u w:val="none"/>
    </w:rPr>
  </w:style>
  <w:style w:type="character" w:customStyle="1" w:styleId="13">
    <w:name w:val="font51"/>
    <w:basedOn w:val="10"/>
    <w:qFormat/>
    <w:uiPriority w:val="0"/>
    <w:rPr>
      <w:rFonts w:hint="eastAsia" w:ascii="宋体" w:hAnsi="宋体" w:eastAsia="宋体" w:cs="宋体"/>
      <w:b/>
      <w:bCs/>
      <w:color w:val="4BACC6"/>
      <w:sz w:val="22"/>
      <w:szCs w:val="22"/>
      <w:u w:val="none"/>
    </w:rPr>
  </w:style>
  <w:style w:type="character" w:customStyle="1" w:styleId="14">
    <w:name w:val="font91"/>
    <w:basedOn w:val="10"/>
    <w:qFormat/>
    <w:uiPriority w:val="0"/>
    <w:rPr>
      <w:rFonts w:hint="default" w:ascii="Times New Roman" w:hAnsi="Times New Roman" w:eastAsia="宋体" w:cs="Times New Roman"/>
      <w:b/>
      <w:bCs/>
      <w:color w:val="4BACC6"/>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chart" Target="charts/chart2.xml"/><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chart" Target="charts/chart1.xml"/><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package" Target="../embeddings/Workbook2.xlsx"/></Relationships>
</file>

<file path=word/charts/_rels/chart2.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Workbook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3376086057096"/>
          <c:y val="0.0472103004291846"/>
          <c:w val="0.846283271272928"/>
          <c:h val="0.773261802575107"/>
        </c:manualLayout>
      </c:layout>
      <c:barChart>
        <c:barDir val="col"/>
        <c:grouping val="clustered"/>
        <c:varyColors val="0"/>
        <c:ser>
          <c:idx val="0"/>
          <c:order val="0"/>
          <c:tx>
            <c:strRef>
              <c:f>Sheet1!$B$1</c:f>
              <c:strCache>
                <c:ptCount val="1"/>
                <c:pt idx="0">
                  <c:v>2021</c:v>
                </c:pt>
              </c:strCache>
            </c:strRef>
          </c:tx>
          <c:spPr>
            <a:solidFill>
              <a:schemeClr val="accent1"/>
            </a:solidFill>
            <a:ln>
              <a:noFill/>
            </a:ln>
            <a:effectLst/>
          </c:spPr>
          <c:invertIfNegative val="0"/>
          <c:dLbls>
            <c:delete val="1"/>
          </c:dLbls>
          <c:cat>
            <c:strRef>
              <c:f>Sheet1!$A$2:$A$4</c:f>
              <c:strCache>
                <c:ptCount val="3"/>
                <c:pt idx="0">
                  <c:v>本科比例</c:v>
                </c:pt>
                <c:pt idx="1">
                  <c:v>高级职称比例</c:v>
                </c:pt>
                <c:pt idx="2">
                  <c:v>双师型比例</c:v>
                </c:pt>
              </c:strCache>
            </c:strRef>
          </c:cat>
          <c:val>
            <c:numRef>
              <c:f>Sheet1!$B$2:$B$4</c:f>
              <c:numCache>
                <c:formatCode>0.00%</c:formatCode>
                <c:ptCount val="3"/>
                <c:pt idx="0">
                  <c:v>0.667</c:v>
                </c:pt>
                <c:pt idx="1">
                  <c:v>0.333</c:v>
                </c:pt>
                <c:pt idx="2">
                  <c:v>0.333</c:v>
                </c:pt>
              </c:numCache>
            </c:numRef>
          </c:val>
        </c:ser>
        <c:ser>
          <c:idx val="1"/>
          <c:order val="1"/>
          <c:tx>
            <c:strRef>
              <c:f>Sheet1!$C$1</c:f>
              <c:strCache>
                <c:ptCount val="1"/>
                <c:pt idx="0">
                  <c:v>2022</c:v>
                </c:pt>
              </c:strCache>
            </c:strRef>
          </c:tx>
          <c:spPr>
            <a:solidFill>
              <a:schemeClr val="accent2"/>
            </a:solidFill>
            <a:ln>
              <a:noFill/>
            </a:ln>
            <a:effectLst/>
          </c:spPr>
          <c:invertIfNegative val="0"/>
          <c:dLbls>
            <c:delete val="1"/>
          </c:dLbls>
          <c:cat>
            <c:strRef>
              <c:f>Sheet1!$A$2:$A$4</c:f>
              <c:strCache>
                <c:ptCount val="3"/>
                <c:pt idx="0">
                  <c:v>本科比例</c:v>
                </c:pt>
                <c:pt idx="1">
                  <c:v>高级职称比例</c:v>
                </c:pt>
                <c:pt idx="2">
                  <c:v>双师型比例</c:v>
                </c:pt>
              </c:strCache>
            </c:strRef>
          </c:cat>
          <c:val>
            <c:numRef>
              <c:f>Sheet1!$C$2:$C$4</c:f>
              <c:numCache>
                <c:formatCode>0%</c:formatCode>
                <c:ptCount val="3"/>
                <c:pt idx="0">
                  <c:v>0.95</c:v>
                </c:pt>
                <c:pt idx="1">
                  <c:v>0.45</c:v>
                </c:pt>
                <c:pt idx="2">
                  <c:v>0.15</c:v>
                </c:pt>
              </c:numCache>
            </c:numRef>
          </c:val>
        </c:ser>
        <c:dLbls>
          <c:showLegendKey val="0"/>
          <c:showVal val="0"/>
          <c:showCatName val="0"/>
          <c:showSerName val="0"/>
          <c:showPercent val="0"/>
          <c:showBubbleSize val="0"/>
        </c:dLbls>
        <c:gapWidth val="219"/>
        <c:overlap val="-27"/>
        <c:axId val="680773869"/>
        <c:axId val="173291088"/>
      </c:barChart>
      <c:catAx>
        <c:axId val="680773869"/>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173291088"/>
        <c:crosses val="autoZero"/>
        <c:auto val="1"/>
        <c:lblAlgn val="ctr"/>
        <c:lblOffset val="100"/>
        <c:noMultiLvlLbl val="0"/>
      </c:catAx>
      <c:valAx>
        <c:axId val="173291088"/>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00%" sourceLinked="0"/>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680773869"/>
        <c:crosses val="autoZero"/>
        <c:crossBetween val="between"/>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2021</c:v>
                </c:pt>
              </c:strCache>
            </c:strRef>
          </c:tx>
          <c:spPr>
            <a:solidFill>
              <a:schemeClr val="accent1"/>
            </a:solidFill>
            <a:ln>
              <a:noFill/>
            </a:ln>
            <a:effectLst/>
          </c:spPr>
          <c:invertIfNegative val="0"/>
          <c:dLbls>
            <c:delete val="1"/>
          </c:dLbls>
          <c:cat>
            <c:strRef>
              <c:f>Sheet1!$A$2:$A$4</c:f>
              <c:strCache>
                <c:ptCount val="3"/>
                <c:pt idx="0">
                  <c:v>学生文化课合格率</c:v>
                </c:pt>
                <c:pt idx="1">
                  <c:v>专业技能合格率</c:v>
                </c:pt>
                <c:pt idx="2">
                  <c:v>体质测评合格率</c:v>
                </c:pt>
              </c:strCache>
            </c:strRef>
          </c:cat>
          <c:val>
            <c:numRef>
              <c:f>Sheet1!$B$2:$B$4</c:f>
              <c:numCache>
                <c:formatCode>0%</c:formatCode>
                <c:ptCount val="3"/>
                <c:pt idx="0">
                  <c:v>0.95</c:v>
                </c:pt>
                <c:pt idx="1" c:formatCode="0.00%">
                  <c:v>0.934</c:v>
                </c:pt>
                <c:pt idx="2" c:formatCode="0.00%">
                  <c:v>0.968</c:v>
                </c:pt>
              </c:numCache>
            </c:numRef>
          </c:val>
        </c:ser>
        <c:ser>
          <c:idx val="1"/>
          <c:order val="1"/>
          <c:tx>
            <c:strRef>
              <c:f>Sheet1!$C$1</c:f>
              <c:strCache>
                <c:ptCount val="1"/>
                <c:pt idx="0">
                  <c:v>2022</c:v>
                </c:pt>
              </c:strCache>
            </c:strRef>
          </c:tx>
          <c:spPr>
            <a:solidFill>
              <a:schemeClr val="accent2"/>
            </a:solidFill>
            <a:ln>
              <a:noFill/>
            </a:ln>
            <a:effectLst/>
          </c:spPr>
          <c:invertIfNegative val="0"/>
          <c:dLbls>
            <c:delete val="1"/>
          </c:dLbls>
          <c:cat>
            <c:strRef>
              <c:f>Sheet1!$A$2:$A$4</c:f>
              <c:strCache>
                <c:ptCount val="3"/>
                <c:pt idx="0">
                  <c:v>学生文化课合格率</c:v>
                </c:pt>
                <c:pt idx="1">
                  <c:v>专业技能合格率</c:v>
                </c:pt>
                <c:pt idx="2">
                  <c:v>体质测评合格率</c:v>
                </c:pt>
              </c:strCache>
            </c:strRef>
          </c:cat>
          <c:val>
            <c:numRef>
              <c:f>Sheet1!$C$2:$C$4</c:f>
              <c:numCache>
                <c:formatCode>0.00%</c:formatCode>
                <c:ptCount val="3"/>
                <c:pt idx="0">
                  <c:v>0.962</c:v>
                </c:pt>
                <c:pt idx="1">
                  <c:v>0.954</c:v>
                </c:pt>
                <c:pt idx="2" c:formatCode="0%">
                  <c:v>1</c:v>
                </c:pt>
              </c:numCache>
            </c:numRef>
          </c:val>
        </c:ser>
        <c:dLbls>
          <c:showLegendKey val="0"/>
          <c:showVal val="0"/>
          <c:showCatName val="0"/>
          <c:showSerName val="0"/>
          <c:showPercent val="0"/>
          <c:showBubbleSize val="0"/>
        </c:dLbls>
        <c:gapWidth val="219"/>
        <c:overlap val="-27"/>
        <c:axId val="656385977"/>
        <c:axId val="517604003"/>
      </c:barChart>
      <c:catAx>
        <c:axId val="656385977"/>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517604003"/>
        <c:crosses val="autoZero"/>
        <c:auto val="1"/>
        <c:lblAlgn val="ctr"/>
        <c:lblOffset val="100"/>
        <c:noMultiLvlLbl val="0"/>
      </c:catAx>
      <c:valAx>
        <c:axId val="517604003"/>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656385977"/>
        <c:crosses val="autoZero"/>
        <c:crossBetween val="between"/>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微软中国</Company>
  <Pages>22</Pages>
  <Words>7983</Words>
  <Characters>8465</Characters>
  <Lines>49</Lines>
  <Paragraphs>13</Paragraphs>
  <TotalTime>6</TotalTime>
  <ScaleCrop>false</ScaleCrop>
  <LinksUpToDate>false</LinksUpToDate>
  <CharactersWithSpaces>8609</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2022-12-15T09:46:00Z</dcterms:created>
  <dc:creator>Angel 童书馆</dc:creator>
  <cp:lastModifiedBy>Angel 童书馆</cp:lastModifiedBy>
  <cp:lastPrinted>2023-01-05T06:56:00Z</cp:lastPrinted>
  <dcterms:modified xsi:type="dcterms:W3CDTF">2023-01-10T06:17:24Z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A2EDCB6648A8438094A299DB5983709A</vt:lpwstr>
  </property>
</Properties>
</file>