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rPr>
          <w:rFonts w:ascii="仿宋" w:hAnsi="仿宋" w:eastAsia="仿宋" w:cs="仿宋"/>
          <w:sz w:val="32"/>
          <w:szCs w:val="32"/>
        </w:rPr>
      </w:pPr>
    </w:p>
    <w:p>
      <w:pPr>
        <w:tabs>
          <w:tab w:val="left" w:pos="5805"/>
        </w:tabs>
        <w:rPr>
          <w:rFonts w:ascii="黑体" w:hAnsi="黑体" w:eastAsia="黑体" w:cs="宋体"/>
          <w:b/>
          <w:sz w:val="28"/>
          <w:szCs w:val="28"/>
        </w:rPr>
      </w:pPr>
    </w:p>
    <w:p>
      <w:pPr>
        <w:tabs>
          <w:tab w:val="left" w:pos="5805"/>
        </w:tabs>
        <w:ind w:left="2108" w:hanging="2108" w:hangingChars="750"/>
        <w:jc w:val="center"/>
        <w:rPr>
          <w:rFonts w:ascii="黑体" w:hAnsi="黑体" w:eastAsia="黑体" w:cs="宋体"/>
          <w:b/>
          <w:sz w:val="28"/>
          <w:szCs w:val="28"/>
        </w:rPr>
      </w:pPr>
    </w:p>
    <w:p>
      <w:pPr>
        <w:tabs>
          <w:tab w:val="left" w:pos="5805"/>
        </w:tabs>
        <w:ind w:left="3313" w:hanging="3313" w:hangingChars="750"/>
        <w:jc w:val="center"/>
        <w:rPr>
          <w:rFonts w:ascii="黑体" w:hAnsi="黑体" w:eastAsia="黑体" w:cs="宋体"/>
          <w:b/>
          <w:sz w:val="44"/>
          <w:szCs w:val="28"/>
        </w:rPr>
      </w:pPr>
    </w:p>
    <w:p>
      <w:pPr>
        <w:tabs>
          <w:tab w:val="left" w:pos="5805"/>
        </w:tabs>
        <w:ind w:left="3313" w:hanging="3313" w:hangingChars="750"/>
        <w:jc w:val="center"/>
        <w:rPr>
          <w:rFonts w:ascii="黑体" w:hAnsi="黑体" w:eastAsia="黑体" w:cs="宋体"/>
          <w:b/>
          <w:sz w:val="44"/>
          <w:szCs w:val="28"/>
        </w:rPr>
      </w:pPr>
      <w:r>
        <w:rPr>
          <w:rFonts w:hint="eastAsia" w:ascii="黑体" w:hAnsi="黑体" w:eastAsia="黑体" w:cs="宋体"/>
          <w:b/>
          <w:sz w:val="44"/>
          <w:szCs w:val="28"/>
        </w:rPr>
        <w:t>2023年中等职业学校质量年度报告</w:t>
      </w:r>
    </w:p>
    <w:p>
      <w:pPr>
        <w:tabs>
          <w:tab w:val="left" w:pos="5805"/>
        </w:tabs>
        <w:ind w:left="3000" w:hanging="3000" w:hangingChars="750"/>
        <w:jc w:val="center"/>
        <w:rPr>
          <w:rFonts w:ascii="黑体" w:hAnsi="黑体" w:eastAsia="黑体" w:cs="宋体"/>
          <w:sz w:val="40"/>
          <w:szCs w:val="28"/>
        </w:rPr>
      </w:pPr>
      <w:r>
        <w:rPr>
          <w:rFonts w:hint="eastAsia" w:ascii="黑体" w:hAnsi="黑体" w:eastAsia="黑体" w:cs="宋体"/>
          <w:sz w:val="40"/>
          <w:szCs w:val="28"/>
        </w:rPr>
        <w:t>白水县中等专业职业学校</w:t>
      </w: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100" w:hanging="2100" w:hangingChars="750"/>
        <w:rPr>
          <w:rFonts w:ascii="宋体" w:hAnsi="宋体" w:cs="宋体"/>
          <w:sz w:val="28"/>
          <w:szCs w:val="28"/>
        </w:rPr>
      </w:pPr>
    </w:p>
    <w:p>
      <w:pPr>
        <w:tabs>
          <w:tab w:val="left" w:pos="5805"/>
        </w:tabs>
        <w:ind w:left="2700" w:hanging="2700" w:hangingChars="750"/>
        <w:jc w:val="center"/>
        <w:rPr>
          <w:rFonts w:ascii="宋体" w:hAnsi="宋体" w:cs="宋体"/>
          <w:sz w:val="36"/>
          <w:szCs w:val="28"/>
        </w:rPr>
      </w:pPr>
      <w:r>
        <w:rPr>
          <w:rFonts w:hint="eastAsia" w:ascii="宋体" w:hAnsi="宋体" w:cs="宋体"/>
          <w:sz w:val="36"/>
          <w:szCs w:val="28"/>
        </w:rPr>
        <w:t>白水县职业中等专业学校</w:t>
      </w:r>
    </w:p>
    <w:p>
      <w:pPr>
        <w:tabs>
          <w:tab w:val="left" w:pos="5805"/>
        </w:tabs>
        <w:ind w:left="2700" w:hanging="2700" w:hangingChars="750"/>
        <w:jc w:val="center"/>
        <w:rPr>
          <w:rFonts w:ascii="宋体" w:hAnsi="宋体" w:cs="宋体"/>
          <w:sz w:val="36"/>
          <w:szCs w:val="28"/>
        </w:rPr>
      </w:pPr>
      <w:r>
        <w:rPr>
          <w:rFonts w:hint="eastAsia" w:ascii="宋体" w:hAnsi="宋体" w:cs="宋体"/>
          <w:sz w:val="36"/>
          <w:szCs w:val="28"/>
        </w:rPr>
        <w:t>2022年12月8日</w:t>
      </w: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center"/>
        <w:rPr>
          <w:rFonts w:cs="黑体" w:asciiTheme="minorEastAsia" w:hAnsiTheme="minorEastAsia" w:eastAsiaTheme="minorEastAsia"/>
          <w:b/>
          <w:sz w:val="40"/>
          <w:szCs w:val="56"/>
        </w:rPr>
      </w:pPr>
      <w:r>
        <w:rPr>
          <w:rFonts w:hint="eastAsia" w:cs="黑体" w:asciiTheme="minorEastAsia" w:hAnsiTheme="minorEastAsia" w:eastAsiaTheme="minorEastAsia"/>
          <w:b/>
          <w:sz w:val="40"/>
          <w:szCs w:val="56"/>
        </w:rPr>
        <w:t>内容真实性责任声明</w:t>
      </w:r>
    </w:p>
    <w:p>
      <w:pPr>
        <w:widowControl/>
        <w:jc w:val="left"/>
        <w:rPr>
          <w:rFonts w:cs="黑体" w:asciiTheme="minorEastAsia" w:hAnsiTheme="minorEastAsia" w:eastAsiaTheme="minorEastAsia"/>
          <w:b/>
          <w:sz w:val="36"/>
          <w:szCs w:val="56"/>
        </w:rPr>
      </w:pPr>
    </w:p>
    <w:p>
      <w:pPr>
        <w:widowControl/>
        <w:spacing w:line="800" w:lineRule="exact"/>
        <w:ind w:firstLine="640" w:firstLineChars="200"/>
        <w:jc w:val="left"/>
        <w:rPr>
          <w:rFonts w:cs="黑体" w:asciiTheme="minorEastAsia" w:hAnsiTheme="minorEastAsia" w:eastAsiaTheme="minorEastAsia"/>
          <w:sz w:val="32"/>
          <w:szCs w:val="56"/>
        </w:rPr>
      </w:pPr>
      <w:r>
        <w:rPr>
          <w:rFonts w:hint="eastAsia" w:cs="黑体" w:asciiTheme="minorEastAsia" w:hAnsiTheme="minorEastAsia" w:eastAsiaTheme="minorEastAsia"/>
          <w:sz w:val="32"/>
          <w:szCs w:val="56"/>
        </w:rPr>
        <w:t>学校对</w:t>
      </w:r>
      <w:r>
        <w:rPr>
          <w:rFonts w:hint="eastAsia" w:cs="黑体" w:asciiTheme="minorEastAsia" w:hAnsiTheme="minorEastAsia" w:eastAsiaTheme="minorEastAsia"/>
          <w:sz w:val="32"/>
          <w:szCs w:val="56"/>
          <w:u w:val="single"/>
        </w:rPr>
        <w:t xml:space="preserve">   白水县职业中等专业学校   </w:t>
      </w:r>
      <w:r>
        <w:rPr>
          <w:rFonts w:hint="eastAsia" w:cs="黑体" w:asciiTheme="minorEastAsia" w:hAnsiTheme="minorEastAsia" w:eastAsiaTheme="minorEastAsia"/>
          <w:sz w:val="32"/>
          <w:szCs w:val="56"/>
        </w:rPr>
        <w:t>质量年度报告（2023）及相关附件的真实性、完整性和准确性负责。</w:t>
      </w:r>
    </w:p>
    <w:p>
      <w:pPr>
        <w:widowControl/>
        <w:spacing w:line="800" w:lineRule="exact"/>
        <w:ind w:firstLine="640" w:firstLineChars="200"/>
        <w:jc w:val="left"/>
        <w:rPr>
          <w:rFonts w:cs="黑体" w:asciiTheme="minorEastAsia" w:hAnsiTheme="minorEastAsia" w:eastAsiaTheme="minorEastAsia"/>
          <w:sz w:val="32"/>
          <w:szCs w:val="56"/>
        </w:rPr>
      </w:pPr>
      <w:r>
        <w:rPr>
          <w:rFonts w:hint="eastAsia" w:cs="黑体" w:asciiTheme="minorEastAsia" w:hAnsiTheme="minorEastAsia" w:eastAsiaTheme="minorEastAsia"/>
          <w:sz w:val="32"/>
          <w:szCs w:val="56"/>
        </w:rPr>
        <w:t>特此声明。</w:t>
      </w: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tabs>
          <w:tab w:val="left" w:pos="4725"/>
        </w:tabs>
        <w:ind w:firstLine="1440" w:firstLineChars="450"/>
        <w:jc w:val="right"/>
        <w:rPr>
          <w:rFonts w:cs="黑体" w:asciiTheme="minorEastAsia" w:hAnsiTheme="minorEastAsia" w:eastAsiaTheme="minorEastAsia"/>
          <w:sz w:val="32"/>
          <w:szCs w:val="56"/>
        </w:rPr>
      </w:pPr>
      <w:r>
        <w:rPr>
          <w:rFonts w:hint="eastAsia" w:cs="黑体" w:asciiTheme="minorEastAsia" w:hAnsiTheme="minorEastAsia" w:eastAsiaTheme="minorEastAsia"/>
          <w:sz w:val="32"/>
          <w:szCs w:val="56"/>
        </w:rPr>
        <w:t>单位名称：（盖章）白水县职业中等专业学校</w:t>
      </w:r>
    </w:p>
    <w:p>
      <w:pPr>
        <w:widowControl/>
        <w:tabs>
          <w:tab w:val="left" w:pos="3240"/>
        </w:tabs>
        <w:ind w:right="640" w:firstLine="1920" w:firstLineChars="600"/>
        <w:rPr>
          <w:rFonts w:cs="黑体" w:asciiTheme="minorEastAsia" w:hAnsiTheme="minorEastAsia" w:eastAsiaTheme="minorEastAsia"/>
          <w:sz w:val="32"/>
          <w:szCs w:val="56"/>
        </w:rPr>
      </w:pPr>
      <w:r>
        <w:rPr>
          <w:rFonts w:hint="eastAsia" w:cs="黑体" w:asciiTheme="minorEastAsia" w:hAnsiTheme="minorEastAsia" w:eastAsiaTheme="minorEastAsia"/>
          <w:sz w:val="32"/>
          <w:szCs w:val="56"/>
        </w:rPr>
        <w:t>法人代表（签名）：</w:t>
      </w:r>
    </w:p>
    <w:p>
      <w:pPr>
        <w:widowControl/>
        <w:tabs>
          <w:tab w:val="left" w:pos="3240"/>
        </w:tabs>
        <w:jc w:val="right"/>
        <w:rPr>
          <w:rFonts w:cs="黑体" w:asciiTheme="minorEastAsia" w:hAnsiTheme="minorEastAsia" w:eastAsiaTheme="minorEastAsia"/>
          <w:sz w:val="32"/>
          <w:szCs w:val="56"/>
        </w:rPr>
      </w:pPr>
    </w:p>
    <w:p>
      <w:pPr>
        <w:widowControl/>
        <w:tabs>
          <w:tab w:val="left" w:pos="3240"/>
        </w:tabs>
        <w:jc w:val="right"/>
        <w:rPr>
          <w:rFonts w:cs="黑体" w:asciiTheme="minorEastAsia" w:hAnsiTheme="minorEastAsia" w:eastAsiaTheme="minorEastAsia"/>
          <w:sz w:val="32"/>
          <w:szCs w:val="56"/>
        </w:rPr>
      </w:pPr>
    </w:p>
    <w:p>
      <w:pPr>
        <w:widowControl/>
        <w:tabs>
          <w:tab w:val="left" w:pos="3240"/>
        </w:tabs>
        <w:jc w:val="right"/>
        <w:rPr>
          <w:rFonts w:cs="黑体" w:asciiTheme="minorEastAsia" w:hAnsiTheme="minorEastAsia" w:eastAsiaTheme="minorEastAsia"/>
          <w:sz w:val="32"/>
          <w:szCs w:val="56"/>
        </w:rPr>
      </w:pPr>
      <w:r>
        <w:rPr>
          <w:rFonts w:hint="eastAsia" w:cs="黑体" w:asciiTheme="minorEastAsia" w:hAnsiTheme="minorEastAsia" w:eastAsiaTheme="minorEastAsia"/>
          <w:sz w:val="32"/>
          <w:szCs w:val="56"/>
        </w:rPr>
        <w:t>2022年12月8日</w:t>
      </w:r>
    </w:p>
    <w:p>
      <w:pPr>
        <w:widowControl/>
        <w:jc w:val="right"/>
        <w:rPr>
          <w:rFonts w:cs="黑体" w:asciiTheme="minorEastAsia" w:hAnsiTheme="minorEastAsia" w:eastAsiaTheme="minorEastAsia"/>
          <w:sz w:val="32"/>
          <w:szCs w:val="56"/>
        </w:rPr>
      </w:pPr>
    </w:p>
    <w:p>
      <w:pPr>
        <w:widowControl/>
        <w:jc w:val="left"/>
        <w:rPr>
          <w:rFonts w:cs="黑体" w:asciiTheme="minorEastAsia" w:hAnsiTheme="minorEastAsia" w:eastAsiaTheme="minorEastAsia"/>
          <w:sz w:val="32"/>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p>
    <w:p>
      <w:pPr>
        <w:widowControl/>
        <w:jc w:val="left"/>
        <w:rPr>
          <w:rFonts w:ascii="黑体" w:hAnsi="黑体" w:eastAsia="黑体" w:cs="黑体"/>
          <w:b/>
          <w:sz w:val="36"/>
          <w:szCs w:val="56"/>
        </w:rPr>
      </w:pPr>
      <w:bookmarkStart w:id="31" w:name="_GoBack"/>
      <w:bookmarkEnd w:id="31"/>
    </w:p>
    <w:p>
      <w:pPr>
        <w:jc w:val="center"/>
        <w:rPr>
          <w:rFonts w:ascii="黑体" w:hAnsi="黑体" w:eastAsia="黑体" w:cs="黑体"/>
          <w:sz w:val="56"/>
          <w:szCs w:val="56"/>
        </w:rPr>
      </w:pPr>
      <w:r>
        <w:rPr>
          <w:rFonts w:hint="eastAsia" w:ascii="黑体" w:hAnsi="黑体" w:eastAsia="黑体" w:cs="黑体"/>
          <w:b/>
          <w:sz w:val="36"/>
          <w:szCs w:val="56"/>
        </w:rPr>
        <w:t>2023年度中等职业学校质量年度报告</w:t>
      </w:r>
    </w:p>
    <w:p>
      <w:pPr>
        <w:spacing w:line="600" w:lineRule="exact"/>
        <w:ind w:firstLine="2560" w:firstLineChars="800"/>
        <w:rPr>
          <w:rFonts w:ascii="仿宋" w:hAnsi="仿宋" w:eastAsia="仿宋" w:cs="仿宋"/>
          <w:sz w:val="32"/>
          <w:szCs w:val="32"/>
        </w:rPr>
      </w:pPr>
      <w:r>
        <w:rPr>
          <w:rFonts w:hint="eastAsia" w:ascii="仿宋" w:hAnsi="仿宋" w:eastAsia="仿宋" w:cs="仿宋"/>
          <w:sz w:val="32"/>
          <w:szCs w:val="32"/>
        </w:rPr>
        <w:t>(白水县职业中等专业学校)</w:t>
      </w:r>
    </w:p>
    <w:sdt>
      <w:sdtPr>
        <w:rPr>
          <w:rFonts w:ascii="Calibri" w:hAnsi="Calibri" w:eastAsia="宋体" w:cs="Times New Roman"/>
          <w:b w:val="0"/>
          <w:bCs w:val="0"/>
          <w:color w:val="auto"/>
          <w:kern w:val="2"/>
          <w:sz w:val="21"/>
          <w:szCs w:val="22"/>
          <w:lang w:val="zh-CN"/>
        </w:rPr>
        <w:id w:val="-893589357"/>
        <w:docPartObj>
          <w:docPartGallery w:val="Table of Contents"/>
          <w:docPartUnique/>
        </w:docPartObj>
      </w:sdtPr>
      <w:sdtEndPr>
        <w:rPr>
          <w:rFonts w:ascii="Calibri" w:hAnsi="Calibri" w:eastAsia="宋体" w:cs="Times New Roman"/>
          <w:b w:val="0"/>
          <w:bCs w:val="0"/>
          <w:color w:val="auto"/>
          <w:kern w:val="2"/>
          <w:sz w:val="21"/>
          <w:szCs w:val="22"/>
          <w:lang w:val="zh-CN"/>
        </w:rPr>
      </w:sdtEndPr>
      <w:sdtContent>
        <w:p>
          <w:pPr>
            <w:pStyle w:val="21"/>
          </w:pPr>
          <w:r>
            <w:rPr>
              <w:lang w:val="zh-CN"/>
            </w:rPr>
            <w:t>目录</w:t>
          </w:r>
        </w:p>
        <w:p>
          <w:pPr>
            <w:pStyle w:val="8"/>
            <w:tabs>
              <w:tab w:val="right" w:leader="dot" w:pos="8306"/>
            </w:tabs>
          </w:pPr>
          <w:r>
            <w:fldChar w:fldCharType="begin"/>
          </w:r>
          <w:r>
            <w:instrText xml:space="preserve"> TOC \o "1-3" \h \z \u </w:instrText>
          </w:r>
          <w:r>
            <w:fldChar w:fldCharType="separate"/>
          </w:r>
          <w:r>
            <w:fldChar w:fldCharType="begin"/>
          </w:r>
          <w:r>
            <w:instrText xml:space="preserve"> HYPERLINK \l _Toc8016 </w:instrText>
          </w:r>
          <w:r>
            <w:fldChar w:fldCharType="separate"/>
          </w:r>
          <w:r>
            <w:rPr>
              <w:rFonts w:hint="eastAsia"/>
            </w:rPr>
            <w:t>1.学生发展质量</w:t>
          </w:r>
          <w:r>
            <w:tab/>
          </w:r>
          <w:r>
            <w:fldChar w:fldCharType="begin"/>
          </w:r>
          <w:r>
            <w:instrText xml:space="preserve"> PAGEREF _Toc8016 \h </w:instrText>
          </w:r>
          <w:r>
            <w:fldChar w:fldCharType="separate"/>
          </w:r>
          <w:r>
            <w:t>4</w:t>
          </w:r>
          <w:r>
            <w:fldChar w:fldCharType="end"/>
          </w:r>
          <w:r>
            <w:fldChar w:fldCharType="end"/>
          </w:r>
        </w:p>
        <w:p>
          <w:pPr>
            <w:pStyle w:val="9"/>
            <w:tabs>
              <w:tab w:val="right" w:leader="dot" w:pos="8306"/>
            </w:tabs>
          </w:pPr>
          <w:r>
            <w:rPr>
              <w:bCs/>
              <w:lang w:val="zh-CN"/>
            </w:rPr>
            <w:fldChar w:fldCharType="begin"/>
          </w:r>
          <w:r>
            <w:rPr>
              <w:bCs/>
              <w:lang w:val="zh-CN"/>
            </w:rPr>
            <w:instrText xml:space="preserve"> HYPERLINK \l _Toc6905 </w:instrText>
          </w:r>
          <w:r>
            <w:rPr>
              <w:bCs/>
              <w:lang w:val="zh-CN"/>
            </w:rPr>
            <w:fldChar w:fldCharType="separate"/>
          </w:r>
          <w:r>
            <w:rPr>
              <w:rFonts w:hint="eastAsia"/>
            </w:rPr>
            <w:t>1.1党建引领</w:t>
          </w:r>
          <w:r>
            <w:tab/>
          </w:r>
          <w:r>
            <w:fldChar w:fldCharType="begin"/>
          </w:r>
          <w:r>
            <w:instrText xml:space="preserve"> PAGEREF _Toc6905 \h </w:instrText>
          </w:r>
          <w:r>
            <w:fldChar w:fldCharType="separate"/>
          </w:r>
          <w:r>
            <w:t>4</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_Toc13477 </w:instrText>
          </w:r>
          <w:r>
            <w:rPr>
              <w:bCs/>
              <w:lang w:val="zh-CN"/>
            </w:rPr>
            <w:fldChar w:fldCharType="separate"/>
          </w:r>
          <w:r>
            <w:rPr>
              <w:rFonts w:hint="eastAsia"/>
            </w:rPr>
            <w:t>1.2立德树人</w:t>
          </w:r>
          <w:r>
            <w:tab/>
          </w:r>
          <w:r>
            <w:fldChar w:fldCharType="begin"/>
          </w:r>
          <w:r>
            <w:instrText xml:space="preserve"> PAGEREF _Toc13477 \h </w:instrText>
          </w:r>
          <w:r>
            <w:fldChar w:fldCharType="separate"/>
          </w:r>
          <w:r>
            <w:t>5</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_Toc26329 </w:instrText>
          </w:r>
          <w:r>
            <w:rPr>
              <w:bCs/>
              <w:lang w:val="zh-CN"/>
            </w:rPr>
            <w:fldChar w:fldCharType="separate"/>
          </w:r>
          <w:r>
            <w:rPr>
              <w:rFonts w:hint="eastAsia"/>
            </w:rPr>
            <w:t>1.3在校体验</w:t>
          </w:r>
          <w:r>
            <w:tab/>
          </w:r>
          <w:r>
            <w:fldChar w:fldCharType="begin"/>
          </w:r>
          <w:r>
            <w:instrText xml:space="preserve"> PAGEREF _Toc26329 \h </w:instrText>
          </w:r>
          <w:r>
            <w:fldChar w:fldCharType="separate"/>
          </w:r>
          <w:r>
            <w:t>6</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_Toc8961 </w:instrText>
          </w:r>
          <w:r>
            <w:rPr>
              <w:bCs/>
              <w:lang w:val="zh-CN"/>
            </w:rPr>
            <w:fldChar w:fldCharType="separate"/>
          </w:r>
          <w:r>
            <w:rPr>
              <w:rFonts w:hint="eastAsia"/>
            </w:rPr>
            <w:t>1.4就业质量</w:t>
          </w:r>
          <w:r>
            <w:tab/>
          </w:r>
          <w:r>
            <w:fldChar w:fldCharType="begin"/>
          </w:r>
          <w:r>
            <w:instrText xml:space="preserve"> PAGEREF _Toc8961 \h </w:instrText>
          </w:r>
          <w:r>
            <w:fldChar w:fldCharType="separate"/>
          </w:r>
          <w:r>
            <w:t>7</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_Toc17647 </w:instrText>
          </w:r>
          <w:r>
            <w:rPr>
              <w:bCs/>
              <w:lang w:val="zh-CN"/>
            </w:rPr>
            <w:fldChar w:fldCharType="separate"/>
          </w:r>
          <w:r>
            <w:rPr>
              <w:rFonts w:hint="eastAsia"/>
            </w:rPr>
            <w:t>1.5创新创业</w:t>
          </w:r>
          <w:r>
            <w:tab/>
          </w:r>
          <w:r>
            <w:fldChar w:fldCharType="begin"/>
          </w:r>
          <w:r>
            <w:instrText xml:space="preserve"> PAGEREF _Toc17647 \h </w:instrText>
          </w:r>
          <w:r>
            <w:fldChar w:fldCharType="separate"/>
          </w:r>
          <w:r>
            <w:t>7</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_Toc12264 </w:instrText>
          </w:r>
          <w:r>
            <w:rPr>
              <w:bCs/>
              <w:lang w:val="zh-CN"/>
            </w:rPr>
            <w:fldChar w:fldCharType="separate"/>
          </w:r>
          <w:r>
            <w:rPr>
              <w:rFonts w:hint="eastAsia"/>
            </w:rPr>
            <w:t>2.教育教学质量</w:t>
          </w:r>
          <w:r>
            <w:tab/>
          </w:r>
          <w:r>
            <w:fldChar w:fldCharType="begin"/>
          </w:r>
          <w:r>
            <w:instrText xml:space="preserve"> PAGEREF _Toc12264 \h </w:instrText>
          </w:r>
          <w:r>
            <w:fldChar w:fldCharType="separate"/>
          </w:r>
          <w:r>
            <w:t>8</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_Toc16609 </w:instrText>
          </w:r>
          <w:r>
            <w:rPr>
              <w:bCs/>
              <w:lang w:val="zh-CN"/>
            </w:rPr>
            <w:fldChar w:fldCharType="separate"/>
          </w:r>
          <w:r>
            <w:rPr>
              <w:rFonts w:hint="eastAsia"/>
            </w:rPr>
            <w:t>2.1专业建设质量</w:t>
          </w:r>
          <w:r>
            <w:tab/>
          </w:r>
          <w:r>
            <w:fldChar w:fldCharType="begin"/>
          </w:r>
          <w:r>
            <w:instrText xml:space="preserve"> PAGEREF _Toc16609 \h </w:instrText>
          </w:r>
          <w:r>
            <w:fldChar w:fldCharType="separate"/>
          </w:r>
          <w:r>
            <w:t>8</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_Toc2996 </w:instrText>
          </w:r>
          <w:r>
            <w:rPr>
              <w:bCs/>
              <w:lang w:val="zh-CN"/>
            </w:rPr>
            <w:fldChar w:fldCharType="separate"/>
          </w:r>
          <w:r>
            <w:rPr>
              <w:rFonts w:hint="eastAsia"/>
            </w:rPr>
            <w:t>2.2课程建设质量</w:t>
          </w:r>
          <w:r>
            <w:tab/>
          </w:r>
          <w:r>
            <w:fldChar w:fldCharType="begin"/>
          </w:r>
          <w:r>
            <w:instrText xml:space="preserve"> PAGEREF _Toc2996 \h </w:instrText>
          </w:r>
          <w:r>
            <w:fldChar w:fldCharType="separate"/>
          </w:r>
          <w:r>
            <w:t>10</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_Toc6068 </w:instrText>
          </w:r>
          <w:r>
            <w:rPr>
              <w:bCs/>
              <w:lang w:val="zh-CN"/>
            </w:rPr>
            <w:fldChar w:fldCharType="separate"/>
          </w:r>
          <w:r>
            <w:rPr>
              <w:rFonts w:hint="eastAsia"/>
            </w:rPr>
            <w:t>2.3教学方法改革</w:t>
          </w:r>
          <w:r>
            <w:tab/>
          </w:r>
          <w:r>
            <w:fldChar w:fldCharType="begin"/>
          </w:r>
          <w:r>
            <w:instrText xml:space="preserve"> PAGEREF _Toc6068 \h </w:instrText>
          </w:r>
          <w:r>
            <w:fldChar w:fldCharType="separate"/>
          </w:r>
          <w:r>
            <w:t>10</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_Toc15679 </w:instrText>
          </w:r>
          <w:r>
            <w:rPr>
              <w:bCs/>
              <w:lang w:val="zh-CN"/>
            </w:rPr>
            <w:fldChar w:fldCharType="separate"/>
          </w:r>
          <w:r>
            <w:rPr>
              <w:rFonts w:hint="eastAsia"/>
            </w:rPr>
            <w:t>2.4师资队伍建设</w:t>
          </w:r>
          <w:r>
            <w:tab/>
          </w:r>
          <w:r>
            <w:fldChar w:fldCharType="begin"/>
          </w:r>
          <w:r>
            <w:instrText xml:space="preserve"> PAGEREF _Toc15679 \h </w:instrText>
          </w:r>
          <w:r>
            <w:fldChar w:fldCharType="separate"/>
          </w:r>
          <w:r>
            <w:t>10</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_Toc812 </w:instrText>
          </w:r>
          <w:r>
            <w:rPr>
              <w:bCs/>
              <w:lang w:val="zh-CN"/>
            </w:rPr>
            <w:fldChar w:fldCharType="separate"/>
          </w:r>
          <w:r>
            <w:rPr>
              <w:rFonts w:hint="eastAsia"/>
            </w:rPr>
            <w:t>2.5校企双元育人</w:t>
          </w:r>
          <w:r>
            <w:tab/>
          </w:r>
          <w:r>
            <w:fldChar w:fldCharType="begin"/>
          </w:r>
          <w:r>
            <w:instrText xml:space="preserve"> PAGEREF _Toc812 \h </w:instrText>
          </w:r>
          <w:r>
            <w:fldChar w:fldCharType="separate"/>
          </w:r>
          <w:r>
            <w:t>12</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_Toc5160 </w:instrText>
          </w:r>
          <w:r>
            <w:rPr>
              <w:bCs/>
              <w:lang w:val="zh-CN"/>
            </w:rPr>
            <w:fldChar w:fldCharType="separate"/>
          </w:r>
          <w:r>
            <w:rPr>
              <w:rFonts w:hint="eastAsia"/>
            </w:rPr>
            <w:t>3.德育工作情况</w:t>
          </w:r>
          <w:r>
            <w:tab/>
          </w:r>
          <w:r>
            <w:fldChar w:fldCharType="begin"/>
          </w:r>
          <w:r>
            <w:instrText xml:space="preserve"> PAGEREF _Toc5160 \h </w:instrText>
          </w:r>
          <w:r>
            <w:fldChar w:fldCharType="separate"/>
          </w:r>
          <w:r>
            <w:t>14</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_Toc26010 </w:instrText>
          </w:r>
          <w:r>
            <w:rPr>
              <w:bCs/>
              <w:lang w:val="zh-CN"/>
            </w:rPr>
            <w:fldChar w:fldCharType="separate"/>
          </w:r>
          <w:r>
            <w:rPr>
              <w:rFonts w:hint="eastAsia"/>
            </w:rPr>
            <w:t>3.1制度规范</w:t>
          </w:r>
          <w:r>
            <w:tab/>
          </w:r>
          <w:r>
            <w:fldChar w:fldCharType="begin"/>
          </w:r>
          <w:r>
            <w:instrText xml:space="preserve"> PAGEREF _Toc26010 \h </w:instrText>
          </w:r>
          <w:r>
            <w:fldChar w:fldCharType="separate"/>
          </w:r>
          <w:r>
            <w:t>14</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_Toc7684 </w:instrText>
          </w:r>
          <w:r>
            <w:rPr>
              <w:bCs/>
              <w:lang w:val="zh-CN"/>
            </w:rPr>
            <w:fldChar w:fldCharType="separate"/>
          </w:r>
          <w:r>
            <w:rPr>
              <w:rFonts w:hint="eastAsia"/>
            </w:rPr>
            <w:t>3.2日常教育</w:t>
          </w:r>
          <w:r>
            <w:tab/>
          </w:r>
          <w:r>
            <w:fldChar w:fldCharType="begin"/>
          </w:r>
          <w:r>
            <w:instrText xml:space="preserve"> PAGEREF _Toc7684 \h </w:instrText>
          </w:r>
          <w:r>
            <w:fldChar w:fldCharType="separate"/>
          </w:r>
          <w:r>
            <w:t>15</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_Toc186 </w:instrText>
          </w:r>
          <w:r>
            <w:rPr>
              <w:bCs/>
              <w:lang w:val="zh-CN"/>
            </w:rPr>
            <w:fldChar w:fldCharType="separate"/>
          </w:r>
          <w:r>
            <w:rPr>
              <w:rFonts w:hint="eastAsia"/>
            </w:rPr>
            <w:t>3.3心理教育</w:t>
          </w:r>
          <w:r>
            <w:tab/>
          </w:r>
          <w:r>
            <w:fldChar w:fldCharType="begin"/>
          </w:r>
          <w:r>
            <w:instrText xml:space="preserve"> PAGEREF _Toc186 \h </w:instrText>
          </w:r>
          <w:r>
            <w:fldChar w:fldCharType="separate"/>
          </w:r>
          <w:r>
            <w:t>16</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_Toc15916 </w:instrText>
          </w:r>
          <w:r>
            <w:rPr>
              <w:bCs/>
              <w:lang w:val="zh-CN"/>
            </w:rPr>
            <w:fldChar w:fldCharType="separate"/>
          </w:r>
          <w:r>
            <w:rPr>
              <w:rFonts w:hint="eastAsia"/>
            </w:rPr>
            <w:t>3.4特色工作</w:t>
          </w:r>
          <w:r>
            <w:tab/>
          </w:r>
          <w:r>
            <w:fldChar w:fldCharType="begin"/>
          </w:r>
          <w:r>
            <w:instrText xml:space="preserve"> PAGEREF _Toc15916 \h </w:instrText>
          </w:r>
          <w:r>
            <w:fldChar w:fldCharType="separate"/>
          </w:r>
          <w:r>
            <w:t>16</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_Toc30917 </w:instrText>
          </w:r>
          <w:r>
            <w:rPr>
              <w:bCs/>
              <w:lang w:val="zh-CN"/>
            </w:rPr>
            <w:fldChar w:fldCharType="separate"/>
          </w:r>
          <w:r>
            <w:rPr>
              <w:rFonts w:hint="eastAsia"/>
            </w:rPr>
            <w:t>4.服务做贡献质量</w:t>
          </w:r>
          <w:r>
            <w:tab/>
          </w:r>
          <w:r>
            <w:fldChar w:fldCharType="begin"/>
          </w:r>
          <w:r>
            <w:instrText xml:space="preserve"> PAGEREF _Toc30917 \h </w:instrText>
          </w:r>
          <w:r>
            <w:fldChar w:fldCharType="separate"/>
          </w:r>
          <w:r>
            <w:t>18</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_Toc17690 </w:instrText>
          </w:r>
          <w:r>
            <w:rPr>
              <w:bCs/>
              <w:lang w:val="zh-CN"/>
            </w:rPr>
            <w:fldChar w:fldCharType="separate"/>
          </w:r>
          <w:r>
            <w:rPr>
              <w:rFonts w:hint="eastAsia"/>
            </w:rPr>
            <w:t>4.1技术技能人才培养</w:t>
          </w:r>
          <w:r>
            <w:tab/>
          </w:r>
          <w:r>
            <w:fldChar w:fldCharType="begin"/>
          </w:r>
          <w:r>
            <w:instrText xml:space="preserve"> PAGEREF _Toc17690 \h </w:instrText>
          </w:r>
          <w:r>
            <w:fldChar w:fldCharType="separate"/>
          </w:r>
          <w:r>
            <w:t>18</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_Toc11503 </w:instrText>
          </w:r>
          <w:r>
            <w:rPr>
              <w:bCs/>
              <w:lang w:val="zh-CN"/>
            </w:rPr>
            <w:fldChar w:fldCharType="separate"/>
          </w:r>
          <w:r>
            <w:rPr>
              <w:rFonts w:hint="eastAsia"/>
            </w:rPr>
            <w:t>4.2服务地方发展</w:t>
          </w:r>
          <w:r>
            <w:tab/>
          </w:r>
          <w:r>
            <w:fldChar w:fldCharType="begin"/>
          </w:r>
          <w:r>
            <w:instrText xml:space="preserve"> PAGEREF _Toc11503 \h </w:instrText>
          </w:r>
          <w:r>
            <w:fldChar w:fldCharType="separate"/>
          </w:r>
          <w:r>
            <w:t>19</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_Toc2915 </w:instrText>
          </w:r>
          <w:r>
            <w:rPr>
              <w:bCs/>
              <w:lang w:val="zh-CN"/>
            </w:rPr>
            <w:fldChar w:fldCharType="separate"/>
          </w:r>
          <w:r>
            <w:rPr>
              <w:rFonts w:hint="eastAsia"/>
            </w:rPr>
            <w:t>4.3服务乡村振兴</w:t>
          </w:r>
          <w:r>
            <w:tab/>
          </w:r>
          <w:r>
            <w:fldChar w:fldCharType="begin"/>
          </w:r>
          <w:r>
            <w:instrText xml:space="preserve"> PAGEREF _Toc2915 \h </w:instrText>
          </w:r>
          <w:r>
            <w:fldChar w:fldCharType="separate"/>
          </w:r>
          <w:r>
            <w:t>19</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_Toc30943 </w:instrText>
          </w:r>
          <w:r>
            <w:rPr>
              <w:bCs/>
              <w:lang w:val="zh-CN"/>
            </w:rPr>
            <w:fldChar w:fldCharType="separate"/>
          </w:r>
          <w:r>
            <w:rPr>
              <w:rFonts w:hint="eastAsia"/>
            </w:rPr>
            <w:t>4.4具有本校特色的服务</w:t>
          </w:r>
          <w:r>
            <w:tab/>
          </w:r>
          <w:r>
            <w:fldChar w:fldCharType="begin"/>
          </w:r>
          <w:r>
            <w:instrText xml:space="preserve"> PAGEREF _Toc30943 \h </w:instrText>
          </w:r>
          <w:r>
            <w:fldChar w:fldCharType="separate"/>
          </w:r>
          <w:r>
            <w:t>19</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_Toc30163 </w:instrText>
          </w:r>
          <w:r>
            <w:rPr>
              <w:bCs/>
              <w:lang w:val="zh-CN"/>
            </w:rPr>
            <w:fldChar w:fldCharType="separate"/>
          </w:r>
          <w:r>
            <w:rPr>
              <w:rFonts w:hint="eastAsia"/>
            </w:rPr>
            <w:t>5.政策落实质量</w:t>
          </w:r>
          <w:r>
            <w:tab/>
          </w:r>
          <w:r>
            <w:fldChar w:fldCharType="begin"/>
          </w:r>
          <w:r>
            <w:instrText xml:space="preserve"> PAGEREF _Toc30163 \h </w:instrText>
          </w:r>
          <w:r>
            <w:fldChar w:fldCharType="separate"/>
          </w:r>
          <w:r>
            <w:t>22</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_Toc20201 </w:instrText>
          </w:r>
          <w:r>
            <w:rPr>
              <w:bCs/>
              <w:lang w:val="zh-CN"/>
            </w:rPr>
            <w:fldChar w:fldCharType="separate"/>
          </w:r>
          <w:r>
            <w:rPr>
              <w:rFonts w:hint="eastAsia"/>
            </w:rPr>
            <w:t>5.1国家政策落实</w:t>
          </w:r>
          <w:r>
            <w:tab/>
          </w:r>
          <w:r>
            <w:fldChar w:fldCharType="begin"/>
          </w:r>
          <w:r>
            <w:instrText xml:space="preserve"> PAGEREF _Toc20201 \h </w:instrText>
          </w:r>
          <w:r>
            <w:fldChar w:fldCharType="separate"/>
          </w:r>
          <w:r>
            <w:t>22</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_Toc13124 </w:instrText>
          </w:r>
          <w:r>
            <w:rPr>
              <w:bCs/>
              <w:lang w:val="zh-CN"/>
            </w:rPr>
            <w:fldChar w:fldCharType="separate"/>
          </w:r>
          <w:r>
            <w:rPr>
              <w:rFonts w:hint="eastAsia"/>
            </w:rPr>
            <w:t>5.2地方政策落实</w:t>
          </w:r>
          <w:r>
            <w:tab/>
          </w:r>
          <w:r>
            <w:fldChar w:fldCharType="begin"/>
          </w:r>
          <w:r>
            <w:instrText xml:space="preserve"> PAGEREF _Toc13124 \h </w:instrText>
          </w:r>
          <w:r>
            <w:fldChar w:fldCharType="separate"/>
          </w:r>
          <w:r>
            <w:t>22</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_Toc22798 </w:instrText>
          </w:r>
          <w:r>
            <w:rPr>
              <w:bCs/>
              <w:lang w:val="zh-CN"/>
            </w:rPr>
            <w:fldChar w:fldCharType="separate"/>
          </w:r>
          <w:r>
            <w:rPr>
              <w:rFonts w:hint="eastAsia"/>
            </w:rPr>
            <w:t>5.3学校治理</w:t>
          </w:r>
          <w:r>
            <w:tab/>
          </w:r>
          <w:r>
            <w:fldChar w:fldCharType="begin"/>
          </w:r>
          <w:r>
            <w:instrText xml:space="preserve"> PAGEREF _Toc22798 \h </w:instrText>
          </w:r>
          <w:r>
            <w:fldChar w:fldCharType="separate"/>
          </w:r>
          <w:r>
            <w:t>23</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_Toc18961 </w:instrText>
          </w:r>
          <w:r>
            <w:rPr>
              <w:bCs/>
              <w:lang w:val="zh-CN"/>
            </w:rPr>
            <w:fldChar w:fldCharType="separate"/>
          </w:r>
          <w:r>
            <w:rPr>
              <w:rFonts w:hint="eastAsia"/>
            </w:rPr>
            <w:t>5.4经费投入</w:t>
          </w:r>
          <w:r>
            <w:tab/>
          </w:r>
          <w:r>
            <w:fldChar w:fldCharType="begin"/>
          </w:r>
          <w:r>
            <w:instrText xml:space="preserve"> PAGEREF _Toc18961 \h </w:instrText>
          </w:r>
          <w:r>
            <w:fldChar w:fldCharType="separate"/>
          </w:r>
          <w:r>
            <w:t>24</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_Toc32529 </w:instrText>
          </w:r>
          <w:r>
            <w:rPr>
              <w:bCs/>
              <w:lang w:val="zh-CN"/>
            </w:rPr>
            <w:fldChar w:fldCharType="separate"/>
          </w:r>
          <w:r>
            <w:rPr>
              <w:rFonts w:hint="eastAsia"/>
            </w:rPr>
            <w:t>6.面临挑战与改进措施</w:t>
          </w:r>
          <w:r>
            <w:tab/>
          </w:r>
          <w:r>
            <w:fldChar w:fldCharType="begin"/>
          </w:r>
          <w:r>
            <w:instrText xml:space="preserve"> PAGEREF _Toc32529 \h </w:instrText>
          </w:r>
          <w:r>
            <w:fldChar w:fldCharType="separate"/>
          </w:r>
          <w:r>
            <w:t>25</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_Toc31332 </w:instrText>
          </w:r>
          <w:r>
            <w:rPr>
              <w:bCs/>
              <w:lang w:val="zh-CN"/>
            </w:rPr>
            <w:fldChar w:fldCharType="separate"/>
          </w:r>
          <w:r>
            <w:rPr>
              <w:rFonts w:hint="eastAsia"/>
            </w:rPr>
            <w:t>6.1面临挑战</w:t>
          </w:r>
          <w:r>
            <w:tab/>
          </w:r>
          <w:r>
            <w:fldChar w:fldCharType="begin"/>
          </w:r>
          <w:r>
            <w:instrText xml:space="preserve"> PAGEREF _Toc31332 \h </w:instrText>
          </w:r>
          <w:r>
            <w:fldChar w:fldCharType="separate"/>
          </w:r>
          <w:r>
            <w:t>25</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_Toc25123 </w:instrText>
          </w:r>
          <w:r>
            <w:rPr>
              <w:bCs/>
              <w:lang w:val="zh-CN"/>
            </w:rPr>
            <w:fldChar w:fldCharType="separate"/>
          </w:r>
          <w:r>
            <w:rPr>
              <w:rFonts w:hint="eastAsia"/>
            </w:rPr>
            <w:t>6.2改进措施</w:t>
          </w:r>
          <w:r>
            <w:tab/>
          </w:r>
          <w:r>
            <w:fldChar w:fldCharType="begin"/>
          </w:r>
          <w:r>
            <w:instrText xml:space="preserve"> PAGEREF _Toc25123 \h </w:instrText>
          </w:r>
          <w:r>
            <w:fldChar w:fldCharType="separate"/>
          </w:r>
          <w:r>
            <w:t>25</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_Toc25516 </w:instrText>
          </w:r>
          <w:r>
            <w:rPr>
              <w:bCs/>
              <w:lang w:val="zh-CN"/>
            </w:rPr>
            <w:fldChar w:fldCharType="separate"/>
          </w:r>
          <w:r>
            <w:rPr>
              <w:rFonts w:hint="eastAsia"/>
            </w:rPr>
            <w:t>附表（中职）</w:t>
          </w:r>
          <w:r>
            <w:tab/>
          </w:r>
          <w:r>
            <w:fldChar w:fldCharType="begin"/>
          </w:r>
          <w:r>
            <w:instrText xml:space="preserve"> PAGEREF _Toc25516 \h </w:instrText>
          </w:r>
          <w:r>
            <w:fldChar w:fldCharType="separate"/>
          </w:r>
          <w:r>
            <w:t>26</w:t>
          </w:r>
          <w:r>
            <w:fldChar w:fldCharType="end"/>
          </w:r>
          <w:r>
            <w:rPr>
              <w:bCs/>
              <w:lang w:val="zh-CN"/>
            </w:rPr>
            <w:fldChar w:fldCharType="end"/>
          </w:r>
        </w:p>
        <w:p>
          <w:r>
            <w:rPr>
              <w:bCs/>
              <w:lang w:val="zh-CN"/>
            </w:rPr>
            <w:fldChar w:fldCharType="end"/>
          </w:r>
        </w:p>
      </w:sdtContent>
    </w:sdt>
    <w:p>
      <w:pPr>
        <w:jc w:val="center"/>
        <w:rPr>
          <w:rFonts w:ascii="宋体" w:hAnsi="宋体" w:cs="宋体"/>
          <w:sz w:val="28"/>
          <w:szCs w:val="28"/>
        </w:rPr>
      </w:pPr>
    </w:p>
    <w:p>
      <w:pPr>
        <w:pStyle w:val="2"/>
      </w:pPr>
      <w:bookmarkStart w:id="0" w:name="_Toc8016"/>
      <w:r>
        <w:rPr>
          <w:rFonts w:hint="eastAsia"/>
        </w:rPr>
        <w:t>1.学生发展质量</w:t>
      </w:r>
      <w:bookmarkEnd w:id="0"/>
    </w:p>
    <w:p>
      <w:pPr>
        <w:pStyle w:val="3"/>
      </w:pPr>
      <w:bookmarkStart w:id="1" w:name="_Toc6905"/>
      <w:r>
        <w:rPr>
          <w:rFonts w:hint="eastAsia"/>
        </w:rPr>
        <w:t>1.1党建引领</w:t>
      </w:r>
      <w:bookmarkEnd w:id="1"/>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学校现有党员32人，本科以上学历31人，占党员总数的96.9%，党员队伍以中青年为主，充满活力，视野宽阔，与时俱进，在工作中起到了模范引领作用。学校党支部坚持三会一课制、开辟党建专题宣传栏、组织党员、教师参加学习强国活动及党建云平台微感悟上传活动，观看感动中国、大国工匠精神等影视片、撰写心得体会、进行党员示范课活动，发挥党员先锋模范作用。深入贫困学生家中，引领，指导，支持贫困家庭脱贫。党员干部团结一心，捐款捐物，主动请缨，入村入户，为残疾人及缺失劳动能力的贫困户打扫庭院，帮干农活，为脱贫攻坚工作做出了巨大贡献。</w:t>
      </w:r>
    </w:p>
    <w:p>
      <w:pPr>
        <w:spacing w:line="240" w:lineRule="auto"/>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2680335" cy="3287395"/>
            <wp:effectExtent l="0" t="0" r="5715" b="8255"/>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4"/>
                    <a:stretch>
                      <a:fillRect/>
                    </a:stretch>
                  </pic:blipFill>
                  <pic:spPr>
                    <a:xfrm>
                      <a:off x="0" y="0"/>
                      <a:ext cx="2680335" cy="3287395"/>
                    </a:xfrm>
                    <a:prstGeom prst="rect">
                      <a:avLst/>
                    </a:prstGeom>
                  </pic:spPr>
                </pic:pic>
              </a:graphicData>
            </a:graphic>
          </wp:inline>
        </w:drawing>
      </w:r>
      <w:r>
        <w:rPr>
          <w:rFonts w:hint="eastAsia" w:ascii="仿宋" w:hAnsi="仿宋" w:eastAsia="仿宋" w:cs="仿宋"/>
          <w:sz w:val="32"/>
          <w:szCs w:val="32"/>
          <w:lang w:eastAsia="zh-CN"/>
        </w:rPr>
        <w:drawing>
          <wp:inline distT="0" distB="0" distL="114300" distR="114300">
            <wp:extent cx="2571115" cy="3288665"/>
            <wp:effectExtent l="0" t="0" r="635" b="6985"/>
            <wp:docPr id="2" name="图片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
                    <pic:cNvPicPr>
                      <a:picLocks noChangeAspect="1"/>
                    </pic:cNvPicPr>
                  </pic:nvPicPr>
                  <pic:blipFill>
                    <a:blip r:embed="rId5"/>
                    <a:stretch>
                      <a:fillRect/>
                    </a:stretch>
                  </pic:blipFill>
                  <pic:spPr>
                    <a:xfrm>
                      <a:off x="0" y="0"/>
                      <a:ext cx="2571115" cy="3288665"/>
                    </a:xfrm>
                    <a:prstGeom prst="rect">
                      <a:avLst/>
                    </a:prstGeom>
                  </pic:spPr>
                </pic:pic>
              </a:graphicData>
            </a:graphic>
          </wp:inline>
        </w:drawing>
      </w:r>
    </w:p>
    <w:p>
      <w:pPr>
        <w:pStyle w:val="3"/>
        <w:rPr>
          <w:rFonts w:hint="eastAsia"/>
        </w:rPr>
      </w:pPr>
    </w:p>
    <w:p>
      <w:pPr>
        <w:pStyle w:val="3"/>
      </w:pPr>
      <w:bookmarkStart w:id="2" w:name="_Toc13477"/>
      <w:r>
        <w:rPr>
          <w:rFonts w:hint="eastAsia"/>
        </w:rPr>
        <w:t>1.2立德树人</w:t>
      </w:r>
      <w:bookmarkEnd w:id="2"/>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drawing>
          <wp:anchor distT="0" distB="0" distL="114300" distR="114300" simplePos="0" relativeHeight="251659264" behindDoc="0" locked="0" layoutInCell="1" allowOverlap="1">
            <wp:simplePos x="0" y="0"/>
            <wp:positionH relativeFrom="column">
              <wp:posOffset>20955</wp:posOffset>
            </wp:positionH>
            <wp:positionV relativeFrom="paragraph">
              <wp:posOffset>1905000</wp:posOffset>
            </wp:positionV>
            <wp:extent cx="3256915" cy="2171065"/>
            <wp:effectExtent l="0" t="0" r="635" b="635"/>
            <wp:wrapSquare wrapText="bothSides"/>
            <wp:docPr id="4" name="图片 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8"/>
                    <pic:cNvPicPr>
                      <a:picLocks noChangeAspect="1"/>
                    </pic:cNvPicPr>
                  </pic:nvPicPr>
                  <pic:blipFill>
                    <a:blip r:embed="rId6"/>
                    <a:stretch>
                      <a:fillRect/>
                    </a:stretch>
                  </pic:blipFill>
                  <pic:spPr>
                    <a:xfrm>
                      <a:off x="0" y="0"/>
                      <a:ext cx="3256915" cy="2171065"/>
                    </a:xfrm>
                    <a:prstGeom prst="rect">
                      <a:avLst/>
                    </a:prstGeom>
                  </pic:spPr>
                </pic:pic>
              </a:graphicData>
            </a:graphic>
          </wp:anchor>
        </w:drawing>
      </w:r>
      <w:r>
        <w:rPr>
          <w:rFonts w:hint="eastAsia" w:ascii="仿宋" w:hAnsi="仿宋" w:eastAsia="仿宋" w:cs="仿宋"/>
          <w:sz w:val="32"/>
          <w:szCs w:val="32"/>
        </w:rPr>
        <w:t>学校重视对学生的日常规范教育和传统文化教育，采取准军事化管理。组织学生深入学习贯彻习近平新时代中国特色社会主义思想和党的十九届四中、五中全会、党的二十大等会议精神。强化“全团抓思想政治引领”的意识和责任，高举习近平新时代中国特色社会主义思想伟大旗帜，集中开展了“喜迎二十大·青春心向党”、“职教生心中的二十大”“未来工匠说”等主题系列活动。</w:t>
      </w:r>
    </w:p>
    <w:p>
      <w:pPr>
        <w:spacing w:line="240" w:lineRule="auto"/>
        <w:rPr>
          <w:rFonts w:hint="eastAsia" w:ascii="仿宋" w:hAnsi="仿宋" w:eastAsia="仿宋" w:cs="仿宋"/>
          <w:sz w:val="32"/>
          <w:szCs w:val="32"/>
          <w:lang w:eastAsia="zh-CN"/>
        </w:rPr>
      </w:pPr>
    </w:p>
    <w:p>
      <w:pPr>
        <w:spacing w:line="240" w:lineRule="auto"/>
        <w:rPr>
          <w:rFonts w:hint="eastAsia" w:ascii="仿宋" w:hAnsi="仿宋" w:eastAsia="仿宋" w:cs="仿宋"/>
          <w:sz w:val="32"/>
          <w:szCs w:val="32"/>
        </w:rPr>
      </w:pPr>
      <w:r>
        <w:rPr>
          <w:rFonts w:hint="eastAsia" w:ascii="仿宋" w:hAnsi="仿宋" w:eastAsia="仿宋" w:cs="仿宋"/>
          <w:sz w:val="32"/>
          <w:szCs w:val="32"/>
          <w:lang w:eastAsia="zh-CN"/>
        </w:rPr>
        <w:drawing>
          <wp:inline distT="0" distB="0" distL="114300" distR="114300">
            <wp:extent cx="5659755" cy="3272155"/>
            <wp:effectExtent l="0" t="0" r="17145" b="4445"/>
            <wp:docPr id="6" name="图片 6"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
                    <pic:cNvPicPr>
                      <a:picLocks noChangeAspect="1"/>
                    </pic:cNvPicPr>
                  </pic:nvPicPr>
                  <pic:blipFill>
                    <a:blip r:embed="rId7"/>
                    <a:stretch>
                      <a:fillRect/>
                    </a:stretch>
                  </pic:blipFill>
                  <pic:spPr>
                    <a:xfrm>
                      <a:off x="0" y="0"/>
                      <a:ext cx="5659755" cy="3272155"/>
                    </a:xfrm>
                    <a:prstGeom prst="rect">
                      <a:avLst/>
                    </a:prstGeom>
                  </pic:spPr>
                </pic:pic>
              </a:graphicData>
            </a:graphic>
          </wp:inline>
        </w:drawing>
      </w:r>
    </w:p>
    <w:p>
      <w:pPr>
        <w:spacing w:line="60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lang w:eastAsia="zh-CN"/>
        </w:rPr>
        <w:drawing>
          <wp:anchor distT="0" distB="0" distL="114300" distR="114300" simplePos="0" relativeHeight="251661312" behindDoc="0" locked="0" layoutInCell="1" allowOverlap="1">
            <wp:simplePos x="0" y="0"/>
            <wp:positionH relativeFrom="column">
              <wp:posOffset>1864360</wp:posOffset>
            </wp:positionH>
            <wp:positionV relativeFrom="paragraph">
              <wp:posOffset>2724150</wp:posOffset>
            </wp:positionV>
            <wp:extent cx="3499485" cy="2167890"/>
            <wp:effectExtent l="0" t="0" r="5715" b="3810"/>
            <wp:wrapSquare wrapText="bothSides"/>
            <wp:docPr id="7" name="图片 7"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5"/>
                    <pic:cNvPicPr>
                      <a:picLocks noChangeAspect="1"/>
                    </pic:cNvPicPr>
                  </pic:nvPicPr>
                  <pic:blipFill>
                    <a:blip r:embed="rId8"/>
                    <a:stretch>
                      <a:fillRect/>
                    </a:stretch>
                  </pic:blipFill>
                  <pic:spPr>
                    <a:xfrm>
                      <a:off x="0" y="0"/>
                      <a:ext cx="3499485" cy="2167890"/>
                    </a:xfrm>
                    <a:prstGeom prst="rect">
                      <a:avLst/>
                    </a:prstGeom>
                  </pic:spPr>
                </pic:pic>
              </a:graphicData>
            </a:graphic>
          </wp:anchor>
        </w:drawing>
      </w:r>
      <w:r>
        <w:rPr>
          <w:rFonts w:hint="eastAsia" w:ascii="仿宋" w:hAnsi="仿宋" w:eastAsia="仿宋" w:cs="仿宋"/>
          <w:sz w:val="32"/>
          <w:szCs w:val="32"/>
          <w:lang w:eastAsia="zh-CN"/>
        </w:rPr>
        <w:drawing>
          <wp:anchor distT="0" distB="0" distL="114300" distR="114300" simplePos="0" relativeHeight="251660288" behindDoc="0" locked="0" layoutInCell="1" allowOverlap="1">
            <wp:simplePos x="0" y="0"/>
            <wp:positionH relativeFrom="column">
              <wp:posOffset>1876425</wp:posOffset>
            </wp:positionH>
            <wp:positionV relativeFrom="paragraph">
              <wp:posOffset>17145</wp:posOffset>
            </wp:positionV>
            <wp:extent cx="3517900" cy="2346325"/>
            <wp:effectExtent l="0" t="0" r="6350" b="15875"/>
            <wp:wrapSquare wrapText="bothSides"/>
            <wp:docPr id="9" name="图片 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
                    <pic:cNvPicPr>
                      <a:picLocks noChangeAspect="1"/>
                    </pic:cNvPicPr>
                  </pic:nvPicPr>
                  <pic:blipFill>
                    <a:blip r:embed="rId9"/>
                    <a:stretch>
                      <a:fillRect/>
                    </a:stretch>
                  </pic:blipFill>
                  <pic:spPr>
                    <a:xfrm>
                      <a:off x="0" y="0"/>
                      <a:ext cx="3517900" cy="2346325"/>
                    </a:xfrm>
                    <a:prstGeom prst="rect">
                      <a:avLst/>
                    </a:prstGeom>
                  </pic:spPr>
                </pic:pic>
              </a:graphicData>
            </a:graphic>
          </wp:anchor>
        </w:drawing>
      </w:r>
      <w:r>
        <w:rPr>
          <w:rFonts w:hint="eastAsia" w:ascii="仿宋" w:hAnsi="仿宋" w:eastAsia="仿宋" w:cs="仿宋"/>
          <w:sz w:val="32"/>
          <w:szCs w:val="32"/>
        </w:rPr>
        <w:t>通过开展法制教育、纪念五四运动103周年表彰大会、感恩教育、校园文化艺术节、队列队形、体操展评活动、拔河赛、唱红歌、演讲赛、校班会、安全教育、传统节日宣传等活动，不断提高学生的综合素养、开拓精神、竞争意识等。2022年在校生综合素质评价达到A等的占90%以上，达标率比2021年有所提高。</w:t>
      </w:r>
    </w:p>
    <w:p>
      <w:pPr>
        <w:pStyle w:val="3"/>
      </w:pPr>
      <w:bookmarkStart w:id="3" w:name="_Toc26329"/>
      <w:r>
        <w:rPr>
          <w:rFonts w:hint="eastAsia"/>
        </w:rPr>
        <w:t>1.3在校体验</w:t>
      </w:r>
      <w:bookmarkEnd w:id="3"/>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白水县职业中等专业学校2022年秋季在校人数共1238人，春季毕业生人数为</w:t>
      </w:r>
      <w:r>
        <w:rPr>
          <w:rFonts w:hint="eastAsia" w:ascii="仿宋" w:hAnsi="仿宋" w:eastAsia="仿宋" w:cs="仿宋"/>
          <w:bCs/>
          <w:sz w:val="32"/>
          <w:szCs w:val="32"/>
        </w:rPr>
        <w:t>389人</w:t>
      </w:r>
      <w:r>
        <w:rPr>
          <w:rFonts w:hint="eastAsia" w:ascii="仿宋" w:hAnsi="仿宋" w:eastAsia="仿宋" w:cs="仿宋"/>
          <w:sz w:val="32"/>
          <w:szCs w:val="32"/>
        </w:rPr>
        <w:t>。2021年招收新生</w:t>
      </w:r>
      <w:r>
        <w:rPr>
          <w:rFonts w:hint="eastAsia" w:ascii="仿宋" w:hAnsi="仿宋" w:eastAsia="仿宋" w:cs="仿宋"/>
          <w:bCs/>
          <w:sz w:val="32"/>
          <w:szCs w:val="32"/>
        </w:rPr>
        <w:t>563人</w:t>
      </w:r>
      <w:r>
        <w:rPr>
          <w:rFonts w:hint="eastAsia" w:ascii="仿宋" w:hAnsi="仿宋" w:eastAsia="仿宋" w:cs="仿宋"/>
          <w:sz w:val="32"/>
          <w:szCs w:val="32"/>
        </w:rPr>
        <w:t>，2022年秋季新生数超过500人，为近几年最高。生均校舍建筑面积22.05平方米/生，生均仪器设备值3607.31元/生，生均纸质图书109.08本/生。2022年二年级顶岗实习学生人数为</w:t>
      </w:r>
      <w:r>
        <w:rPr>
          <w:rFonts w:hint="eastAsia" w:ascii="仿宋" w:hAnsi="仿宋" w:eastAsia="仿宋" w:cs="仿宋"/>
          <w:bCs/>
          <w:sz w:val="32"/>
          <w:szCs w:val="32"/>
        </w:rPr>
        <w:t>298人</w:t>
      </w:r>
      <w:r>
        <w:rPr>
          <w:rFonts w:hint="eastAsia" w:ascii="仿宋" w:hAnsi="仿宋" w:eastAsia="仿宋" w:cs="仿宋"/>
          <w:sz w:val="32"/>
          <w:szCs w:val="32"/>
        </w:rPr>
        <w:t>。</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坚持“立德树人”的教育宗旨，关注学生成长，关心学生生活，端正学生品行，严明学生纪律，强化教学管理。学生理论学习中意度、专业学习中意度、实习实训中意度、校园文化与社团活动中意度、生活中意度、校园安全中意度、毕业生对学校的中意度为95%以上。</w:t>
      </w:r>
    </w:p>
    <w:p>
      <w:pPr>
        <w:pStyle w:val="3"/>
      </w:pPr>
      <w:bookmarkStart w:id="4" w:name="_Toc8961"/>
      <w:r>
        <w:rPr>
          <w:rFonts w:hint="eastAsia"/>
        </w:rPr>
        <w:t>1.4就业质量</w:t>
      </w:r>
      <w:bookmarkEnd w:id="4"/>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学生就业率连续上升。2022年毕业生</w:t>
      </w:r>
      <w:r>
        <w:rPr>
          <w:rFonts w:hint="eastAsia" w:ascii="仿宋" w:hAnsi="仿宋" w:eastAsia="仿宋" w:cs="仿宋"/>
          <w:bCs/>
          <w:sz w:val="32"/>
          <w:szCs w:val="32"/>
        </w:rPr>
        <w:t>378人</w:t>
      </w:r>
      <w:r>
        <w:rPr>
          <w:rFonts w:hint="eastAsia" w:ascii="仿宋" w:hAnsi="仿宋" w:eastAsia="仿宋" w:cs="仿宋"/>
          <w:sz w:val="32"/>
          <w:szCs w:val="32"/>
        </w:rPr>
        <w:t>升入高一级学校就读。陕西省职业教育单招考试本科上线14人，单招专科上线率100%。其中，国家示范、骨干高职学校录取207人，录取率超58.3%，省级以上高职院校录取350人，录取率为98%以上，再创我校历史新高。在前半年的全市质量检测中和后半年的全市技能考核中，取得了优异成绩。</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298名学生在扬中、上海、惠州三地参加顶岗实习，得到了企业的高度赞誉，学生稳定，家长满意。我校培养的学生中意度达98%以上。</w:t>
      </w:r>
    </w:p>
    <w:p>
      <w:pPr>
        <w:pStyle w:val="3"/>
      </w:pPr>
      <w:bookmarkStart w:id="5" w:name="_Toc17647"/>
      <w:r>
        <w:rPr>
          <w:rFonts w:hint="eastAsia"/>
        </w:rPr>
        <w:t>1.5创新创业</w:t>
      </w:r>
      <w:bookmarkEnd w:id="5"/>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积极开展学生职业生涯规划，开设职业道德与职业指导，就业创业等课程，经常性开展教学评价、德育评价、就业创业讲座等，提高学生的学习能力，道德水准及对职业的认识，通过顶岗实习，促使学生提前适应职业，为毕业后适应就业岗位奠定基础，得到了社会认可。</w:t>
      </w:r>
    </w:p>
    <w:p>
      <w:pPr>
        <w:pStyle w:val="2"/>
      </w:pPr>
      <w:bookmarkStart w:id="6" w:name="_Toc12264"/>
      <w:r>
        <w:rPr>
          <w:rFonts w:hint="eastAsia"/>
        </w:rPr>
        <w:t>2.教育教学质量</w:t>
      </w:r>
      <w:bookmarkEnd w:id="6"/>
    </w:p>
    <w:p>
      <w:pPr>
        <w:pStyle w:val="3"/>
      </w:pPr>
      <w:bookmarkStart w:id="7" w:name="_Toc16609"/>
      <w:r>
        <w:rPr>
          <w:rFonts w:hint="eastAsia"/>
        </w:rPr>
        <w:t>2.1专业建设质量</w:t>
      </w:r>
      <w:bookmarkEnd w:id="7"/>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依照市场需求和我校校情，从实际出发，通过多次调研，不断调整专业设置，科学治理，提高质量。结合县域经济发展，学校在充分调研的基础上，申报、新增电子商务专业；机电技术应用专业；幼儿保育专业；酿酒技术与工艺专业得到批复并开始招生。</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现开设六个专业：计算机应用技术、电子商务、工业机器人应用技术、机电技术应用、应急救援技术和幼儿保育专业。逐步形成艺术类、服务类、智能制造类、信息类四大专业群。各个专业从县域实情量身制定了切实可行的专业建设规划和人才培养方案，明确我校始终把提高教学质量作为重点。</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大力加强实习实训基地建设，满足学生实习实训要求。建成并投入使用的有信息类实训室6个，艺术类实训室6个，工业机器人专业实训室已完成验收，投入使用，建立了校外实训基地5个。为配合专业发展，学校加强了对专业人才的培养力度，先后派专业教师赴西安、咸阳、扬中等地更新专业知识，同时引入县域内优秀艺术类、信息类专业教师五名。</w:t>
      </w:r>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学校计划依照社会对人才的需求，与陕西工业职业技术学院、陕西能源职业技术学院、渭南职业技术学院、陕西国防工业职业技术学院、杨凌职业技术学院、陕西铁路工程职业技术学院、中电协（北京）电子商务技术研究院、西安弘道教育科技有限公司、扬中蜂巢易创科技有限公司、上海李山科技有限公司等学校、企业签订了联合办学协议，部分合作已经开展，效果很好。</w:t>
      </w:r>
    </w:p>
    <w:p>
      <w:pPr>
        <w:spacing w:line="240" w:lineRule="auto"/>
        <w:rPr>
          <w:rFonts w:hint="eastAsia"/>
        </w:rPr>
      </w:pPr>
      <w:r>
        <w:rPr>
          <w:rFonts w:hint="eastAsia" w:ascii="仿宋" w:hAnsi="仿宋" w:eastAsia="仿宋" w:cs="仿宋"/>
          <w:sz w:val="32"/>
          <w:szCs w:val="32"/>
          <w:lang w:eastAsia="zh-CN"/>
        </w:rPr>
        <w:drawing>
          <wp:anchor distT="0" distB="0" distL="114300" distR="114300" simplePos="0" relativeHeight="251662336" behindDoc="0" locked="0" layoutInCell="1" allowOverlap="1">
            <wp:simplePos x="0" y="0"/>
            <wp:positionH relativeFrom="column">
              <wp:posOffset>-4445</wp:posOffset>
            </wp:positionH>
            <wp:positionV relativeFrom="paragraph">
              <wp:posOffset>3129280</wp:posOffset>
            </wp:positionV>
            <wp:extent cx="5162550" cy="3444240"/>
            <wp:effectExtent l="0" t="0" r="0" b="3810"/>
            <wp:wrapSquare wrapText="bothSides"/>
            <wp:docPr id="11" name="图片 11"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6"/>
                    <pic:cNvPicPr>
                      <a:picLocks noChangeAspect="1"/>
                    </pic:cNvPicPr>
                  </pic:nvPicPr>
                  <pic:blipFill>
                    <a:blip r:embed="rId10"/>
                    <a:stretch>
                      <a:fillRect/>
                    </a:stretch>
                  </pic:blipFill>
                  <pic:spPr>
                    <a:xfrm>
                      <a:off x="0" y="0"/>
                      <a:ext cx="5162550" cy="3444240"/>
                    </a:xfrm>
                    <a:prstGeom prst="rect">
                      <a:avLst/>
                    </a:prstGeom>
                  </pic:spPr>
                </pic:pic>
              </a:graphicData>
            </a:graphic>
          </wp:anchor>
        </w:drawing>
      </w:r>
      <w:r>
        <w:rPr>
          <w:rFonts w:hint="eastAsia" w:ascii="仿宋" w:hAnsi="仿宋" w:eastAsia="仿宋" w:cs="仿宋"/>
          <w:sz w:val="32"/>
          <w:szCs w:val="32"/>
          <w:lang w:eastAsia="zh-CN"/>
        </w:rPr>
        <w:drawing>
          <wp:anchor distT="0" distB="0" distL="114300" distR="114300" simplePos="0" relativeHeight="251663360" behindDoc="0" locked="0" layoutInCell="1" allowOverlap="1">
            <wp:simplePos x="0" y="0"/>
            <wp:positionH relativeFrom="column">
              <wp:posOffset>-9525</wp:posOffset>
            </wp:positionH>
            <wp:positionV relativeFrom="paragraph">
              <wp:posOffset>135890</wp:posOffset>
            </wp:positionV>
            <wp:extent cx="5124450" cy="2814320"/>
            <wp:effectExtent l="0" t="0" r="0" b="5080"/>
            <wp:wrapSquare wrapText="bothSides"/>
            <wp:docPr id="12" name="图片 12"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4"/>
                    <pic:cNvPicPr>
                      <a:picLocks noChangeAspect="1"/>
                    </pic:cNvPicPr>
                  </pic:nvPicPr>
                  <pic:blipFill>
                    <a:blip r:embed="rId11"/>
                    <a:stretch>
                      <a:fillRect/>
                    </a:stretch>
                  </pic:blipFill>
                  <pic:spPr>
                    <a:xfrm>
                      <a:off x="0" y="0"/>
                      <a:ext cx="5124450" cy="2814320"/>
                    </a:xfrm>
                    <a:prstGeom prst="rect">
                      <a:avLst/>
                    </a:prstGeom>
                  </pic:spPr>
                </pic:pic>
              </a:graphicData>
            </a:graphic>
          </wp:anchor>
        </w:drawing>
      </w:r>
    </w:p>
    <w:p>
      <w:pPr>
        <w:pStyle w:val="3"/>
      </w:pPr>
      <w:bookmarkStart w:id="8" w:name="_Toc2996"/>
      <w:r>
        <w:rPr>
          <w:rFonts w:hint="eastAsia"/>
        </w:rPr>
        <w:t>2.2课程建设质量</w:t>
      </w:r>
      <w:bookmarkEnd w:id="8"/>
    </w:p>
    <w:p>
      <w:pPr>
        <w:spacing w:line="600" w:lineRule="exact"/>
        <w:ind w:firstLine="640" w:firstLineChars="200"/>
        <w:rPr>
          <w:rFonts w:ascii="仿宋" w:hAnsi="仿宋" w:eastAsia="仿宋" w:cs="仿宋"/>
          <w:b/>
          <w:sz w:val="32"/>
          <w:szCs w:val="32"/>
        </w:rPr>
      </w:pPr>
      <w:r>
        <w:rPr>
          <w:rFonts w:hint="eastAsia" w:ascii="仿宋" w:hAnsi="仿宋" w:eastAsia="仿宋" w:cs="仿宋"/>
          <w:sz w:val="32"/>
          <w:szCs w:val="32"/>
        </w:rPr>
        <w:t>在教学管理中，依据国家规划教材和我校实情开设公共基础课和专业课，其中包括语文、数学、英语、体育与健康、计算机应用基础、政治、音乐、书法、礼仪等课程。各专业均开设有相应的专业课和实训课。</w:t>
      </w:r>
    </w:p>
    <w:p>
      <w:pPr>
        <w:pStyle w:val="3"/>
      </w:pPr>
      <w:bookmarkStart w:id="9" w:name="_Toc6068"/>
      <w:r>
        <w:rPr>
          <w:rFonts w:hint="eastAsia"/>
        </w:rPr>
        <w:t>2.3教学方法改革</w:t>
      </w:r>
      <w:bookmarkEnd w:id="9"/>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在教学改革中，不断推进翻转课堂、师徒制教学、产教融合、校企合作、校校合作等，取得了较好的效果。</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加强教育信息化建设，是提高教学质量的重要途径。2022年学校更新多媒体电脑设备53台，初步完成了校园网建设，进一步优化了信息化教学。智慧教室建设已全部安装到位，并投入使用。</w:t>
      </w:r>
    </w:p>
    <w:p>
      <w:pPr>
        <w:pStyle w:val="3"/>
      </w:pPr>
      <w:bookmarkStart w:id="10" w:name="_Toc15679"/>
      <w:r>
        <w:rPr>
          <w:rFonts w:hint="eastAsia"/>
        </w:rPr>
        <w:t>2.4师资队伍建设</w:t>
      </w:r>
      <w:bookmarkEnd w:id="10"/>
    </w:p>
    <w:p>
      <w:pPr>
        <w:pStyle w:val="10"/>
        <w:widowControl/>
        <w:shd w:val="clear" w:color="auto" w:fill="FFFFFF"/>
        <w:spacing w:beforeAutospacing="0" w:afterAutospacing="0" w:line="600" w:lineRule="exact"/>
        <w:ind w:firstLine="600"/>
        <w:jc w:val="both"/>
        <w:rPr>
          <w:rFonts w:ascii="仿宋" w:hAnsi="仿宋" w:eastAsia="仿宋" w:cs="仿宋"/>
          <w:kern w:val="2"/>
          <w:sz w:val="32"/>
          <w:szCs w:val="32"/>
        </w:rPr>
      </w:pPr>
      <w:r>
        <w:rPr>
          <w:rFonts w:hint="eastAsia" w:ascii="仿宋" w:hAnsi="仿宋" w:eastAsia="仿宋" w:cs="仿宋"/>
          <w:kern w:val="2"/>
          <w:sz w:val="32"/>
          <w:szCs w:val="32"/>
        </w:rPr>
        <w:t>学校师资队伍建设规划和年度建设计划科学、规范、合理。教师年度培养提高计划可行，实操性强。师资队伍结构较为合理。教师培训类型多样，数量适中。</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现有在编教师102人，本科学历及以上占比69.32%，高级职称占比22.73%，省级教学能手及信息化教学能手4人，市级教学能手18人，专任教师89人，专业教师25人，双师型教师15人，师资力量雄厚。本年度新调入优秀教师6人。另外，学校还有支教教师24人，临聘专业教师4人。基本扭转了师资老龄化的不利局面。</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在教师整体提高方面，我校确立了“强师兴教，强师兴校”的策略，立足校本培训，全方位提高教师队伍的整体素质，这是我校教学质量不断提升的全然保证。加强校本培训，实现教师教学能力的可持续发展，首先是思想培训，即更新教学理念，通过业务讲座，业务学习，加强新的教学理念学习，使教师认识转变观念的重要性。为加强教师队伍建设，学校每年进行“青年教师培养工程”、“双师型教师建设工程”，以加强教师队伍的培养。积极参加国培和省培及市县级培训是提高教师业务水平的重要途径，不断提高教师的培养培训力度，经常请专家来校讲座，经常走出去加强校际间的交流和学习，形成了“雏雁起飞、领雁高飞、群雁齐飞”的教师队伍建设格局。</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2022年学校在师资队伍建设上采取了以下几点做法。</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1、鼓励教师外出学习培训。学校先后组织30余名教师参加国培、省培或赴扬中、西安、咸阳、杨凌等地学习。通过多渠道学习、培训、参观，教师的教育教学及教研能力在一定程度上得到了提高，稳步推进新课改各项工作，同时也促进了教师的主动学习意识。视野宽了，眼界远了，观念新了，方法多了，越来越好的投身于教学工作。</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2、吸纳名师来校任教。2022年，学校在县局的大力支持下，引进了6名优秀的、专业性强的教师，基本扭转了我校教师老龄化的不利局面，部分专业学科带头人已崭露头角。</w:t>
      </w:r>
    </w:p>
    <w:p>
      <w:pPr>
        <w:pStyle w:val="3"/>
      </w:pPr>
      <w:bookmarkStart w:id="11" w:name="_Toc812"/>
      <w:r>
        <w:rPr>
          <w:rFonts w:hint="eastAsia"/>
        </w:rPr>
        <w:t>2.5校企双元育人</w:t>
      </w:r>
      <w:bookmarkEnd w:id="11"/>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积极开展校企合作，产教融合，中高职衔接，“订单式培养”等合作模式。</w:t>
      </w:r>
    </w:p>
    <w:p>
      <w:pPr>
        <w:spacing w:line="600" w:lineRule="exact"/>
        <w:ind w:firstLine="643" w:firstLineChars="200"/>
        <w:rPr>
          <w:rFonts w:ascii="仿宋" w:hAnsi="仿宋" w:eastAsia="仿宋" w:cs="仿宋"/>
          <w:b/>
          <w:sz w:val="32"/>
          <w:szCs w:val="32"/>
        </w:rPr>
      </w:pPr>
      <w:r>
        <w:rPr>
          <w:rFonts w:hint="eastAsia" w:ascii="仿宋" w:hAnsi="仿宋" w:eastAsia="仿宋" w:cs="仿宋"/>
          <w:b/>
          <w:sz w:val="32"/>
          <w:szCs w:val="32"/>
        </w:rPr>
        <w:t>2.5.1校企合作开展情况和效果</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2022年，学校与陕西工业职业技术学院、陕西能源职业技术学院、渭南职业技术学院、陕西国防工业职业技术学院、中电协（北京）电子商务研究院、西安弘道教育科技有限公司、杨凌职业技术学院、、扬中蜂巢易创科技有限公司、上海李山科技有限公司等学校，企业签订了联合办学协议，部分合作已经开展，效果很好。</w:t>
      </w:r>
    </w:p>
    <w:p>
      <w:pPr>
        <w:spacing w:line="600" w:lineRule="exact"/>
        <w:ind w:firstLine="643" w:firstLineChars="200"/>
        <w:rPr>
          <w:rFonts w:ascii="仿宋" w:hAnsi="仿宋" w:eastAsia="仿宋" w:cs="仿宋"/>
          <w:b/>
          <w:sz w:val="32"/>
          <w:szCs w:val="32"/>
        </w:rPr>
      </w:pPr>
      <w:r>
        <w:rPr>
          <w:rFonts w:hint="eastAsia" w:ascii="仿宋" w:hAnsi="仿宋" w:eastAsia="仿宋" w:cs="仿宋"/>
          <w:b/>
          <w:sz w:val="32"/>
          <w:szCs w:val="32"/>
        </w:rPr>
        <w:t>2.5.2学生实习情况</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紧紧围绕全县经济和社会发展大局，坚持以县域经济发展和培养技能型人才为宗旨，以实训基地为依托，积极探究实训方式；以技能培训为重点，推进教育教学改革，实行工学结合、校企合作、顶岗实习的人才培养模式。2022年298余名学生赴扬中、上海、惠州进行为期三个月的顶岗实习，锻炼了学生，增长了见识，使学校与企业在人才培养方面做到“零接轨”，为学生未来的升学和就业奠定了良好的基础。</w:t>
      </w:r>
    </w:p>
    <w:p>
      <w:pPr>
        <w:spacing w:line="240" w:lineRule="auto"/>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6690" cy="3950335"/>
            <wp:effectExtent l="0" t="0" r="10160" b="12065"/>
            <wp:docPr id="14" name="图片 14" descr="15fe9fbab953af2b5310448b2535d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5fe9fbab953af2b5310448b2535d77"/>
                    <pic:cNvPicPr>
                      <a:picLocks noChangeAspect="1"/>
                    </pic:cNvPicPr>
                  </pic:nvPicPr>
                  <pic:blipFill>
                    <a:blip r:embed="rId12"/>
                    <a:stretch>
                      <a:fillRect/>
                    </a:stretch>
                  </pic:blipFill>
                  <pic:spPr>
                    <a:xfrm>
                      <a:off x="0" y="0"/>
                      <a:ext cx="5266690" cy="3950335"/>
                    </a:xfrm>
                    <a:prstGeom prst="rect">
                      <a:avLst/>
                    </a:prstGeom>
                  </pic:spPr>
                </pic:pic>
              </a:graphicData>
            </a:graphic>
          </wp:inline>
        </w:drawing>
      </w:r>
      <w:r>
        <w:rPr>
          <w:rFonts w:hint="eastAsia" w:ascii="仿宋" w:hAnsi="仿宋" w:eastAsia="仿宋" w:cs="仿宋"/>
          <w:sz w:val="32"/>
          <w:szCs w:val="32"/>
          <w:lang w:eastAsia="zh-CN"/>
        </w:rPr>
        <w:drawing>
          <wp:inline distT="0" distB="0" distL="114300" distR="114300">
            <wp:extent cx="5274310" cy="3955415"/>
            <wp:effectExtent l="0" t="0" r="2540" b="6985"/>
            <wp:docPr id="13" name="图片 13" descr="微信图片_20210524204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图片_20210524204721"/>
                    <pic:cNvPicPr>
                      <a:picLocks noChangeAspect="1"/>
                    </pic:cNvPicPr>
                  </pic:nvPicPr>
                  <pic:blipFill>
                    <a:blip r:embed="rId13"/>
                    <a:stretch>
                      <a:fillRect/>
                    </a:stretch>
                  </pic:blipFill>
                  <pic:spPr>
                    <a:xfrm>
                      <a:off x="0" y="0"/>
                      <a:ext cx="5274310" cy="3955415"/>
                    </a:xfrm>
                    <a:prstGeom prst="rect">
                      <a:avLst/>
                    </a:prstGeom>
                  </pic:spPr>
                </pic:pic>
              </a:graphicData>
            </a:graphic>
          </wp:inline>
        </w:drawing>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坚持把学生的实习实训纳入教育教学考核之中。坚持理论学习与实践能力并重，学校在科研、教研等方面，不断创新教学方法，全力提高培养质量。同时努力筹集资金，建立与专业相对应的实训室，使学生通过实践操作，不断提高理论知识的应用能力，以达到高质量就业，为学生的以后发展打坚实的基础。</w:t>
      </w:r>
    </w:p>
    <w:p>
      <w:pPr>
        <w:pStyle w:val="2"/>
      </w:pPr>
      <w:bookmarkStart w:id="12" w:name="_Toc5160"/>
      <w:r>
        <w:rPr>
          <w:rFonts w:hint="eastAsia"/>
        </w:rPr>
        <w:t>3.德育工作情况</w:t>
      </w:r>
      <w:bookmarkEnd w:id="12"/>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求真务实，大胆创新，探求新时期德育工作的新思路，创设书香校园。中职学校的学生德育治理始终是一个大难题，普遍存在学生素质参差不齐，一部分学生上进心不强，破罐子破摔；一部分学生是初中甚至是小学就被遗忘的人，是被边缘化的学生。可以说大部分学生的养成教育较差，缺乏纪律性，缺少别人对他们的尊重和关爱，大多数学生有较强的叛逆性，应激性强。为了提高学生的综合素养，学校始终全面贯彻党的教育方针，不断完善学校德育组织机构、计划性强、措施到位、检查及时，不断总结和推广先进经验，以“礼仪”教育为切入点，以爱国主义教育为主线，以学习优秀传统文化为突破口，以常规养成教育为主阵地、坚持上好德育主题班会，开展丰富多彩的活动，努力营造书香校园文化氛围。</w:t>
      </w:r>
    </w:p>
    <w:p>
      <w:pPr>
        <w:pStyle w:val="3"/>
      </w:pPr>
      <w:bookmarkStart w:id="13" w:name="_Toc26010"/>
      <w:r>
        <w:rPr>
          <w:rFonts w:hint="eastAsia"/>
        </w:rPr>
        <w:t>3.1制度规范</w:t>
      </w:r>
      <w:bookmarkEnd w:id="13"/>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坚持“以沟通交流为主要手段”，“以爱为动身点，攻心为上，宽严相济，疏堵结合”的德育治理思想。</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班主任管理制度、学生综合素质考评制度、宿舍管理制度以及学生考勤制度、奖惩制度等健全。采取准军事化管理，建立了准军事化管理章程，执行情况良好，端正了学生的行为，学生素质普遍得到了提升，得到了家长的赞誉，社会的认可。</w:t>
      </w:r>
    </w:p>
    <w:p>
      <w:pPr>
        <w:pStyle w:val="3"/>
      </w:pPr>
      <w:bookmarkStart w:id="14" w:name="_Toc7684"/>
      <w:r>
        <w:rPr>
          <w:rFonts w:hint="eastAsia"/>
        </w:rPr>
        <w:t>3.2日常教育</w:t>
      </w:r>
      <w:bookmarkEnd w:id="14"/>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重视对学生的日常行为规范教育和传统文化教育，通过开展法制教育、纪念五四运动103周年表彰大会、“喜迎二十大 永远跟党走 奋进新征程”新团员入团仪式、校园文化艺术节、队列队形、体操展评活动、唱红歌、演讲赛、光盘行动宣誓、班会、安全教育、传统节日教育，“三月文明礼貌月”等一系列活动，不断提高学生的综合素养、开拓精神、竞争意识等。</w:t>
      </w:r>
    </w:p>
    <w:p>
      <w:pPr>
        <w:spacing w:line="240" w:lineRule="auto"/>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4552950" cy="3042285"/>
            <wp:effectExtent l="0" t="0" r="0" b="5715"/>
            <wp:docPr id="16" name="图片 16" descr="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3333"/>
                    <pic:cNvPicPr>
                      <a:picLocks noChangeAspect="1"/>
                    </pic:cNvPicPr>
                  </pic:nvPicPr>
                  <pic:blipFill>
                    <a:blip r:embed="rId14"/>
                    <a:stretch>
                      <a:fillRect/>
                    </a:stretch>
                  </pic:blipFill>
                  <pic:spPr>
                    <a:xfrm>
                      <a:off x="0" y="0"/>
                      <a:ext cx="4552950" cy="3042285"/>
                    </a:xfrm>
                    <a:prstGeom prst="rect">
                      <a:avLst/>
                    </a:prstGeom>
                  </pic:spPr>
                </pic:pic>
              </a:graphicData>
            </a:graphic>
          </wp:inline>
        </w:drawing>
      </w:r>
    </w:p>
    <w:p>
      <w:pPr>
        <w:pStyle w:val="3"/>
      </w:pPr>
      <w:bookmarkStart w:id="15" w:name="_Toc186"/>
      <w:r>
        <w:rPr>
          <w:rFonts w:hint="eastAsia"/>
        </w:rPr>
        <w:t>3.3心理教育</w:t>
      </w:r>
      <w:bookmarkEnd w:id="15"/>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设立了卫生保健机构，重视校园环境卫生治理，制定了宿舍、教室、实训室、餐厅等公共区域卫生管理制度并严格执行。每学期都邀请疾控中心专业人员来校开展传染病、艾滋病等预防知识讲座，定期为师生进行体检。学校还建有心理辅导室，有专职国家级二级心理辅导师杨娅芹老师为师生服务，有效解决了部分师生的心理疾病。</w:t>
      </w:r>
    </w:p>
    <w:p>
      <w:pPr>
        <w:pStyle w:val="3"/>
      </w:pPr>
      <w:bookmarkStart w:id="16" w:name="_Toc15916"/>
      <w:r>
        <w:rPr>
          <w:rFonts w:hint="eastAsia"/>
        </w:rPr>
        <w:t>3.4特色工作</w:t>
      </w:r>
      <w:bookmarkEnd w:id="16"/>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drawing>
          <wp:anchor distT="0" distB="0" distL="114300" distR="114300" simplePos="0" relativeHeight="251664384" behindDoc="0" locked="0" layoutInCell="1" allowOverlap="1">
            <wp:simplePos x="0" y="0"/>
            <wp:positionH relativeFrom="column">
              <wp:posOffset>133350</wp:posOffset>
            </wp:positionH>
            <wp:positionV relativeFrom="paragraph">
              <wp:posOffset>1174750</wp:posOffset>
            </wp:positionV>
            <wp:extent cx="5266690" cy="3514090"/>
            <wp:effectExtent l="0" t="0" r="10160" b="10160"/>
            <wp:wrapSquare wrapText="bothSides"/>
            <wp:docPr id="20" name="图片 20"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1"/>
                    <pic:cNvPicPr>
                      <a:picLocks noChangeAspect="1"/>
                    </pic:cNvPicPr>
                  </pic:nvPicPr>
                  <pic:blipFill>
                    <a:blip r:embed="rId15"/>
                    <a:stretch>
                      <a:fillRect/>
                    </a:stretch>
                  </pic:blipFill>
                  <pic:spPr>
                    <a:xfrm>
                      <a:off x="0" y="0"/>
                      <a:ext cx="5266690" cy="3514090"/>
                    </a:xfrm>
                    <a:prstGeom prst="rect">
                      <a:avLst/>
                    </a:prstGeom>
                  </pic:spPr>
                </pic:pic>
              </a:graphicData>
            </a:graphic>
          </wp:anchor>
        </w:drawing>
      </w:r>
      <w:r>
        <w:rPr>
          <w:rFonts w:hint="eastAsia" w:ascii="仿宋" w:hAnsi="仿宋" w:eastAsia="仿宋" w:cs="仿宋"/>
          <w:b/>
          <w:bCs/>
          <w:sz w:val="32"/>
          <w:szCs w:val="32"/>
        </w:rPr>
        <w:t>3.4.1</w:t>
      </w:r>
      <w:r>
        <w:rPr>
          <w:rFonts w:hint="eastAsia" w:ascii="仿宋" w:hAnsi="仿宋" w:eastAsia="仿宋" w:cs="仿宋"/>
          <w:sz w:val="32"/>
          <w:szCs w:val="32"/>
        </w:rPr>
        <w:t>成立了国旗护卫队、特训队、太极拳、绘画、音乐等10个兴趣小组，丰富校园文化生活，凝聚学生的向心力。</w:t>
      </w:r>
    </w:p>
    <w:p>
      <w:pPr>
        <w:spacing w:line="240" w:lineRule="auto"/>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5267325" cy="3518535"/>
            <wp:effectExtent l="0" t="0" r="9525" b="5715"/>
            <wp:docPr id="19" name="图片 19"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3"/>
                    <pic:cNvPicPr>
                      <a:picLocks noChangeAspect="1"/>
                    </pic:cNvPicPr>
                  </pic:nvPicPr>
                  <pic:blipFill>
                    <a:blip r:embed="rId16"/>
                    <a:stretch>
                      <a:fillRect/>
                    </a:stretch>
                  </pic:blipFill>
                  <pic:spPr>
                    <a:xfrm>
                      <a:off x="0" y="0"/>
                      <a:ext cx="5267325" cy="3518535"/>
                    </a:xfrm>
                    <a:prstGeom prst="rect">
                      <a:avLst/>
                    </a:prstGeom>
                  </pic:spPr>
                </pic:pic>
              </a:graphicData>
            </a:graphic>
          </wp:inline>
        </w:drawing>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3.4.2</w:t>
      </w:r>
      <w:r>
        <w:rPr>
          <w:rFonts w:hint="eastAsia" w:ascii="仿宋" w:hAnsi="仿宋" w:eastAsia="仿宋" w:cs="仿宋"/>
          <w:sz w:val="32"/>
          <w:szCs w:val="32"/>
        </w:rPr>
        <w:t>与时俱进，弘扬中华优秀传统文化，拓新德育教育新思路。依照我校实际情况，制定切实可行的优秀传统文化学习方案，并能经常性地开展传统文化的学习。</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3.4.3</w:t>
      </w:r>
      <w:r>
        <w:rPr>
          <w:rFonts w:hint="eastAsia" w:ascii="仿宋" w:hAnsi="仿宋" w:eastAsia="仿宋" w:cs="仿宋"/>
          <w:sz w:val="32"/>
          <w:szCs w:val="32"/>
        </w:rPr>
        <w:t>加强对班主任及全体教师的培训学习。营造大力学习优秀传统文化的浓厚学习氛围，将学习传统文化贯穿于教学的始终。</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3.4.4</w:t>
      </w:r>
      <w:r>
        <w:rPr>
          <w:rFonts w:hint="eastAsia" w:ascii="仿宋" w:hAnsi="仿宋" w:eastAsia="仿宋" w:cs="仿宋"/>
          <w:sz w:val="32"/>
          <w:szCs w:val="32"/>
        </w:rPr>
        <w:t>把学校开展的礼仪教育与优秀传统文化的学习紧密结合，开设中职礼仪课程，重视规范学生的礼貌礼节及仪容仪表。学生既喜闻乐见又能广泛参与，既耳濡目染又能潜移默化，通过深深体会浓郁的文化气息，最终将礼仪教育践行到学生的生活之中，在每个人的身上得到内化和升华。</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3.4.5</w:t>
      </w:r>
      <w:r>
        <w:rPr>
          <w:rFonts w:hint="eastAsia" w:ascii="仿宋" w:hAnsi="仿宋" w:eastAsia="仿宋" w:cs="仿宋"/>
          <w:sz w:val="32"/>
          <w:szCs w:val="32"/>
        </w:rPr>
        <w:t>把优秀传统文化的学习与学校开展的各项文体活动紧密结合。学校利用传统节庆日、重要历史人物、历史事件的纪念日等举办主题鲜亮、形式活泼、重在体验的活动。如孔子诞辰日进行尊师敬贤主题演讲活动、端午节开展爱国主义传统主题教育活动、重阳节开展敬老主题活动等对学生进行优秀传统文化教育。</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中职德育工作虽然比较复杂，但我们凭着谦虚慎重、求真务实的工作作风，仍然取得了较好的成果。教学及管理中，教师尊重学生，关爱学生，包容学生，生活中教师对学生有信心、耐心和恒心。对简单琐碎重复性的工作常抓不懈，尤其在学生的思想治理上，能结合优秀中华传统文化，以问题为抓手，狠抓学生的常规养成教育，塑造学生良好的道德情操，高尚的家国情怀，培养学生良好的行为适应和学习能力，使学生成人、成才、成功！</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以社团为载体，有计划的开展丰富多彩的文体活动，文明礼貌月、祭英烈扫墓、我的中国梦演讲、唱红歌、校园文化艺术节、百科知识竞赛、志愿者服务队、敬老爱老、篮球赛等活动，增加了学生的班级凝聚力，提高了学生的综合素质。</w:t>
      </w:r>
    </w:p>
    <w:p>
      <w:pPr>
        <w:pStyle w:val="2"/>
      </w:pPr>
      <w:bookmarkStart w:id="17" w:name="_Toc30917"/>
      <w:r>
        <w:rPr>
          <w:rFonts w:hint="eastAsia"/>
        </w:rPr>
        <w:t>4.服务做贡献质量</w:t>
      </w:r>
      <w:bookmarkEnd w:id="17"/>
    </w:p>
    <w:p>
      <w:pPr>
        <w:pStyle w:val="3"/>
      </w:pPr>
      <w:bookmarkStart w:id="18" w:name="_Toc17690"/>
      <w:r>
        <w:rPr>
          <w:rFonts w:hint="eastAsia"/>
        </w:rPr>
        <w:t>4.1技术技能人才培养</w:t>
      </w:r>
      <w:bookmarkEnd w:id="18"/>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中等职业教育，就是一种就业教育，学校依照这一目标，结合县域及学校实情，在教学过程中，坚持以传授技术、技能为核心，以创业精神和创业能力为重点，以理论与实践相结合为途径来组织教学。建立稳定、有序、灵活的毕业生就业渠道和网络，加大对毕业生的就业推介力度。从目前反馈的情况看，我校毕业生素质较高，深受用人单位好评。</w:t>
      </w:r>
    </w:p>
    <w:p>
      <w:pPr>
        <w:pStyle w:val="3"/>
      </w:pPr>
      <w:bookmarkStart w:id="19" w:name="_Toc11503"/>
      <w:r>
        <w:rPr>
          <w:rFonts w:hint="eastAsia"/>
        </w:rPr>
        <w:t>4.2服务地方发展</w:t>
      </w:r>
      <w:bookmarkEnd w:id="19"/>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始终围绕县域内产业、行业需求，积极开展涉农及第三产业培训，结合扶贫及社区教育等，先后培训新型农民2000余人，社区及服务行业1000余人，尤其对乡村振兴包联村张王庄村在果业、蔬菜、电商、创业等方面的培训效果甚佳，为农民服务及县域经济发展作出了应用的贡献。</w:t>
      </w:r>
    </w:p>
    <w:p>
      <w:pPr>
        <w:pStyle w:val="3"/>
      </w:pPr>
      <w:bookmarkStart w:id="20" w:name="_Toc2915"/>
      <w:r>
        <w:rPr>
          <w:rFonts w:hint="eastAsia"/>
        </w:rPr>
        <w:t>4.3服务乡村振兴</w:t>
      </w:r>
      <w:bookmarkEnd w:id="20"/>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在乡村振兴工作中，学校包联杜康镇张王庄村，党员干部入村入户，为残疾人及缺失劳动能力的贫困户打扫庭院、帮干农活、交流谈心、引导他们积极向上，不断拼搏，努力过上好日子。同时，学校组织专业人员积极开展农业及农村电商培训，先后培训果业、蔬菜、电商等方面的新型农民186人。</w:t>
      </w:r>
    </w:p>
    <w:p>
      <w:pPr>
        <w:pStyle w:val="3"/>
      </w:pPr>
      <w:bookmarkStart w:id="21" w:name="_Toc30943"/>
      <w:r>
        <w:rPr>
          <w:rFonts w:hint="eastAsia"/>
        </w:rPr>
        <w:t>4.4具有本校特色的服务</w:t>
      </w:r>
      <w:bookmarkEnd w:id="21"/>
    </w:p>
    <w:p>
      <w:pPr>
        <w:spacing w:line="600" w:lineRule="exact"/>
        <w:ind w:firstLine="643" w:firstLineChars="200"/>
        <w:rPr>
          <w:rFonts w:ascii="仿宋" w:hAnsi="仿宋" w:eastAsia="仿宋" w:cs="仿宋"/>
          <w:b/>
          <w:bCs/>
          <w:sz w:val="32"/>
          <w:szCs w:val="32"/>
        </w:rPr>
      </w:pPr>
      <w:r>
        <w:rPr>
          <w:rFonts w:hint="eastAsia" w:ascii="仿宋" w:hAnsi="仿宋" w:eastAsia="仿宋" w:cs="仿宋"/>
          <w:b/>
          <w:bCs/>
          <w:sz w:val="32"/>
          <w:szCs w:val="32"/>
        </w:rPr>
        <w:t>4.4.1基础设施快速发展</w:t>
      </w:r>
    </w:p>
    <w:p>
      <w:pPr>
        <w:spacing w:line="60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2022年，是学校快速发展的一年，提升改造项目预计总投资1.14亿元，年度计划投资3000万元。投资2000余万元新建的标准化体育运动中心投入使用。为所有教师配备了办公电脑，现代化信息教学手段得到广泛应用。完成了给排水及电路改造工程，给排水、电路全部移至地下管网。更换了北教学楼、男生公寓的门窗并进行了重新粉刷，改善了学生的生活条件和学习环境。</w:t>
      </w:r>
    </w:p>
    <w:p>
      <w:pPr>
        <w:spacing w:line="240" w:lineRule="auto"/>
        <w:rPr>
          <w:rFonts w:hint="eastAsia" w:ascii="仿宋" w:hAnsi="仿宋" w:eastAsia="仿宋" w:cs="仿宋"/>
          <w:sz w:val="32"/>
          <w:szCs w:val="32"/>
          <w:lang w:eastAsia="zh-CN"/>
        </w:rPr>
      </w:pPr>
    </w:p>
    <w:p>
      <w:pPr>
        <w:spacing w:line="600" w:lineRule="exact"/>
        <w:ind w:firstLine="640" w:firstLineChars="200"/>
        <w:rPr>
          <w:rFonts w:ascii="仿宋" w:hAnsi="仿宋" w:eastAsia="仿宋" w:cs="仿宋"/>
          <w:b/>
          <w:sz w:val="32"/>
          <w:szCs w:val="32"/>
        </w:rPr>
      </w:pPr>
      <w:r>
        <w:rPr>
          <w:rFonts w:hint="eastAsia" w:ascii="仿宋" w:hAnsi="仿宋" w:eastAsia="仿宋" w:cs="仿宋"/>
          <w:sz w:val="32"/>
          <w:szCs w:val="32"/>
          <w:lang w:eastAsia="zh-CN"/>
        </w:rPr>
        <w:drawing>
          <wp:anchor distT="0" distB="0" distL="114300" distR="114300" simplePos="0" relativeHeight="251665408" behindDoc="0" locked="0" layoutInCell="1" allowOverlap="1">
            <wp:simplePos x="0" y="0"/>
            <wp:positionH relativeFrom="column">
              <wp:posOffset>1600200</wp:posOffset>
            </wp:positionH>
            <wp:positionV relativeFrom="paragraph">
              <wp:posOffset>886460</wp:posOffset>
            </wp:positionV>
            <wp:extent cx="3599180" cy="2383155"/>
            <wp:effectExtent l="0" t="0" r="1270" b="17145"/>
            <wp:wrapSquare wrapText="bothSides"/>
            <wp:docPr id="21" name="图片 21" descr="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24"/>
                    <pic:cNvPicPr>
                      <a:picLocks noChangeAspect="1"/>
                    </pic:cNvPicPr>
                  </pic:nvPicPr>
                  <pic:blipFill>
                    <a:blip r:embed="rId17"/>
                    <a:stretch>
                      <a:fillRect/>
                    </a:stretch>
                  </pic:blipFill>
                  <pic:spPr>
                    <a:xfrm>
                      <a:off x="0" y="0"/>
                      <a:ext cx="3599180" cy="2383155"/>
                    </a:xfrm>
                    <a:prstGeom prst="rect">
                      <a:avLst/>
                    </a:prstGeom>
                  </pic:spPr>
                </pic:pic>
              </a:graphicData>
            </a:graphic>
          </wp:anchor>
        </w:drawing>
      </w:r>
      <w:r>
        <w:rPr>
          <w:rFonts w:hint="eastAsia" w:ascii="仿宋" w:hAnsi="仿宋" w:eastAsia="仿宋" w:cs="仿宋"/>
          <w:sz w:val="32"/>
          <w:szCs w:val="32"/>
        </w:rPr>
        <w:t>学校已完成向北扩地60亩，校园面积达到了160亩。“十四五”期间，学校将在县委县政府及县教育局的正确领导下和大力支持下，拟新建室内体育馆一栋，培训中心两栋，图书楼一栋，食堂一栋，机械类实训室一栋。</w:t>
      </w:r>
    </w:p>
    <w:p>
      <w:pPr>
        <w:spacing w:line="600" w:lineRule="exact"/>
        <w:ind w:firstLine="643" w:firstLineChars="200"/>
        <w:rPr>
          <w:rFonts w:ascii="仿宋" w:hAnsi="仿宋" w:eastAsia="仿宋" w:cs="仿宋"/>
          <w:b/>
          <w:sz w:val="32"/>
          <w:szCs w:val="32"/>
        </w:rPr>
      </w:pPr>
      <w:r>
        <w:rPr>
          <w:rFonts w:hint="eastAsia" w:ascii="仿宋" w:hAnsi="仿宋" w:eastAsia="仿宋" w:cs="仿宋"/>
          <w:b/>
          <w:sz w:val="32"/>
          <w:szCs w:val="32"/>
        </w:rPr>
        <w:t>4.4.2与时俱进，弘扬中华优秀传统文化，拓新德育教育新思路</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由于市场经济的趋利性挤占传统优秀文化的地位，社会上对传统文化的不重视宣传力度不够，使传统文化教育在青少年心目中有越来越淡化；许多家长对优秀传统文化认识不足，未能对孩子进行积极的教育和有效的引导。使越来越多的学生养成了衣来伸手，饭来张口，过多的依赖家长，缺乏自立能力，欠缺劳动适应。自私自利，不太合群，集体观念淡薄；花钱大手大脚，不珍惜劳动成果；是非观念淡薄；始终把自己放在第一位，没有民族意识、集体意识、国家意识。针对以上情况，我校从2018年开始就尝试着加强对学生进行优秀传统文化学习教育，效果很好。</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一是开展学生诵读和践行《弟子规》等优秀传统文化经典活动。通过每天晨读颂讲活动，使学生切身体验，通过对案例思考，使学生认识到在学校不好好学习，不遵规守纪确实是不孝。明白作为学生如何提高自己“孝”的道德品质，如何去孝敬父母，如何感恩周围的人，使自己在现实生活中创建和谐亲情、获得人生的成功。</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二是通过诵读活动对学生进行爱国主义教育。中国传统文化蕴藏着丰富深刻的爱国主义思想。“先天下之忧而忧、后天下之乐而乐”，“天下兴亡，匹夫有责”的思想及“先义后利”，“舍生取义”等主张。强调了为国家、为民族、为整体的献身精神。通过学习使学生树立正确的家国情怀，培养爱国主义情操，懂得爱国要从爱父母、爱师长、爱同学、爱家、爱班级、爱校、爱家乡等点滴小事做起。</w:t>
      </w:r>
    </w:p>
    <w:p>
      <w:pPr>
        <w:spacing w:line="600" w:lineRule="exact"/>
        <w:ind w:firstLine="643" w:firstLineChars="200"/>
        <w:rPr>
          <w:rFonts w:ascii="仿宋" w:hAnsi="仿宋" w:eastAsia="仿宋" w:cs="仿宋"/>
          <w:b/>
          <w:sz w:val="32"/>
          <w:szCs w:val="32"/>
        </w:rPr>
      </w:pPr>
      <w:r>
        <w:rPr>
          <w:rFonts w:hint="eastAsia" w:ascii="仿宋" w:hAnsi="仿宋" w:eastAsia="仿宋" w:cs="仿宋"/>
          <w:b/>
          <w:sz w:val="32"/>
          <w:szCs w:val="32"/>
        </w:rPr>
        <w:t>4.4.3深化准军事化管理</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采取准军事化管理，学生行为习惯得到了很大转变，2022年，学校基于“德、才、梦”的辩证关系，继续深化准军事化管理，制定了准军事化管理细则，使管理细致化，常态化，成立了国旗护卫队、组建了特训队、巡逻小组、礼仪纪律检查小组等，强化学生行为举止培养，为全校学生起表率作用。严格内务整理，纪律作风，做到吃饭排队，早睡早起，言行规范，生活规律。</w:t>
      </w:r>
    </w:p>
    <w:p>
      <w:pPr>
        <w:pStyle w:val="2"/>
      </w:pPr>
      <w:bookmarkStart w:id="22" w:name="_Toc30163"/>
      <w:r>
        <w:rPr>
          <w:rFonts w:hint="eastAsia"/>
        </w:rPr>
        <w:t>5.政策落实质量</w:t>
      </w:r>
      <w:bookmarkEnd w:id="22"/>
    </w:p>
    <w:p>
      <w:pPr>
        <w:pStyle w:val="3"/>
      </w:pPr>
      <w:r>
        <w:rPr>
          <w:rFonts w:hint="eastAsia"/>
        </w:rPr>
        <w:t xml:space="preserve"> </w:t>
      </w:r>
      <w:bookmarkStart w:id="23" w:name="_Toc20201"/>
      <w:r>
        <w:rPr>
          <w:rFonts w:hint="eastAsia"/>
        </w:rPr>
        <w:t>5.1国家政策落实</w:t>
      </w:r>
      <w:bookmarkEnd w:id="23"/>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学校在办学过程中，认真遵守国家的方针政策、法律法规和有关文件规定，各项治理活动依法依规，无违纪违规行为。</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一直以来严格按照国家的有关法律法规办学，认真贯彻《中华人民共和国教育法》、《教师法》《职业教育法》等有关法规，制定了《学校治理规范》等各项制度，保障学校正常开展教书育人工作，维护教师、学生的权利。</w:t>
      </w:r>
    </w:p>
    <w:p>
      <w:pPr>
        <w:pStyle w:val="3"/>
      </w:pPr>
      <w:bookmarkStart w:id="24" w:name="_Toc13124"/>
      <w:r>
        <w:rPr>
          <w:rFonts w:hint="eastAsia"/>
        </w:rPr>
        <w:t>5.2地方政策落实</w:t>
      </w:r>
      <w:bookmarkEnd w:id="24"/>
    </w:p>
    <w:p>
      <w:pPr>
        <w:spacing w:line="240" w:lineRule="auto"/>
        <w:ind w:firstLine="640" w:firstLineChars="200"/>
        <w:rPr>
          <w:rFonts w:ascii="仿宋" w:hAnsi="仿宋" w:eastAsia="仿宋" w:cs="仿宋"/>
          <w:sz w:val="32"/>
          <w:szCs w:val="32"/>
        </w:rPr>
      </w:pPr>
      <w:r>
        <w:rPr>
          <w:rFonts w:hint="eastAsia" w:ascii="仿宋" w:hAnsi="仿宋" w:eastAsia="仿宋" w:cs="仿宋"/>
          <w:sz w:val="32"/>
          <w:szCs w:val="32"/>
        </w:rPr>
        <w:t>白水县委、县政府非常重视职业教育的发展，出台了《白水县关于加快和促进现代职业教育发展的实施方案》，坚持4:6的职普比例招生政策不动摇。积极推动白扬交流，为学校发展搭建了校企合作立交桥，学校已与扬州市蜂巢易创科技有限公司、长城汽车签订了联合办学协议；与陕西工业职业技术学院签订校校合作协议，与陕西能源职业技术学院签订“中高职一体化办学合作协议”，同时将我校作为优质生</w:t>
      </w:r>
      <w:r>
        <w:rPr>
          <w:rFonts w:hint="eastAsia" w:ascii="仿宋" w:hAnsi="仿宋" w:eastAsia="仿宋" w:cs="仿宋"/>
          <w:sz w:val="32"/>
          <w:szCs w:val="32"/>
        </w:rPr>
        <w:drawing>
          <wp:anchor distT="0" distB="0" distL="114300" distR="114300" simplePos="0" relativeHeight="251666432" behindDoc="0" locked="0" layoutInCell="1" allowOverlap="1">
            <wp:simplePos x="0" y="0"/>
            <wp:positionH relativeFrom="column">
              <wp:posOffset>14605</wp:posOffset>
            </wp:positionH>
            <wp:positionV relativeFrom="paragraph">
              <wp:posOffset>201295</wp:posOffset>
            </wp:positionV>
            <wp:extent cx="3592195" cy="2395855"/>
            <wp:effectExtent l="0" t="0" r="8255" b="4445"/>
            <wp:wrapSquare wrapText="bothSides"/>
            <wp:docPr id="22" name="图片 22"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21"/>
                    <pic:cNvPicPr>
                      <a:picLocks noChangeAspect="1"/>
                    </pic:cNvPicPr>
                  </pic:nvPicPr>
                  <pic:blipFill>
                    <a:blip r:embed="rId18"/>
                    <a:stretch>
                      <a:fillRect/>
                    </a:stretch>
                  </pic:blipFill>
                  <pic:spPr>
                    <a:xfrm>
                      <a:off x="0" y="0"/>
                      <a:ext cx="3592195" cy="2395855"/>
                    </a:xfrm>
                    <a:prstGeom prst="rect">
                      <a:avLst/>
                    </a:prstGeom>
                  </pic:spPr>
                </pic:pic>
              </a:graphicData>
            </a:graphic>
          </wp:anchor>
        </w:drawing>
      </w:r>
      <w:r>
        <w:rPr>
          <w:rFonts w:hint="eastAsia" w:ascii="仿宋" w:hAnsi="仿宋" w:eastAsia="仿宋" w:cs="仿宋"/>
          <w:sz w:val="32"/>
          <w:szCs w:val="32"/>
        </w:rPr>
        <w:t>源基地并授牌；与渭南师范学院建立了结对帮扶关系，得到了渭南师范学院在师资培训、信息化教学等方面的大力支持。</w:t>
      </w:r>
    </w:p>
    <w:p>
      <w:pPr>
        <w:pStyle w:val="3"/>
      </w:pPr>
      <w:bookmarkStart w:id="25" w:name="_Toc22798"/>
      <w:r>
        <w:rPr>
          <w:rFonts w:hint="eastAsia"/>
        </w:rPr>
        <w:t>5.3学校治理</w:t>
      </w:r>
      <w:bookmarkEnd w:id="25"/>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始终围绕以服务区域经济发展为宗旨，以“让每个学生成人成才成功”为校训，坚持“教育以人为本、做人以德为本、生存以技为本”的办学理念，以产教融合、校企一体为改革方向，力求“面向市场设专业，依照岗位设课程”，不断深化改革、优化结构、强化治理，努力提高办学质量和效益，逐步形成以学校为主体，社会培训和产教研一体为两翼的办学模式，把学校打造成规模大、声誉好、质量优的中等职业学校。</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建立完善了教职工代表大会制度，健全了工会组织制度，坚持校务公开和民主决策。学校重大事务均及时向教职工公示，实行透明化、公开化管理。</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学校共有校级领导7人，其中校长兼党支部书记1人，副校长3人，副书记1人，支委2人。学校领导班子成员年富力强，有着丰富的领导经验。校长和副校长均为本科以上学历。中层干部所学专业涵盖各专业大类，熟悉教育教学与后勤治理工作，执行能力强。</w:t>
      </w:r>
    </w:p>
    <w:p>
      <w:pPr>
        <w:spacing w:line="600" w:lineRule="exact"/>
        <w:ind w:firstLine="640" w:firstLineChars="200"/>
        <w:rPr>
          <w:rFonts w:ascii="仿宋" w:hAnsi="仿宋" w:eastAsia="仿宋" w:cs="仿宋"/>
          <w:sz w:val="32"/>
          <w:szCs w:val="32"/>
          <w:lang w:val="zh-CN"/>
        </w:rPr>
      </w:pPr>
      <w:r>
        <w:rPr>
          <w:rFonts w:hint="eastAsia" w:ascii="仿宋" w:hAnsi="仿宋" w:eastAsia="仿宋" w:cs="仿宋"/>
          <w:sz w:val="32"/>
          <w:szCs w:val="32"/>
        </w:rPr>
        <w:t>学校建立了完善的制度体系，</w:t>
      </w:r>
      <w:r>
        <w:rPr>
          <w:rFonts w:hint="eastAsia" w:ascii="仿宋" w:hAnsi="仿宋" w:eastAsia="仿宋" w:cs="仿宋"/>
          <w:sz w:val="32"/>
          <w:szCs w:val="32"/>
          <w:lang w:val="zh-CN"/>
        </w:rPr>
        <w:t>编制了《党政治理制度》、《学校治理规范》、《教学管理制度》、《专业实训管理制度》、《德育管理制度》、《后勤管理制度》、《安全制度》、《财务管理制度》等，完善了《学校教职工考核方案》、《教学质量奖惩方案》、《专业技术职务评聘工作方案》等，形成奖优激优机制。</w:t>
      </w:r>
    </w:p>
    <w:p>
      <w:pPr>
        <w:spacing w:line="600" w:lineRule="exact"/>
        <w:ind w:firstLine="640" w:firstLineChars="200"/>
        <w:rPr>
          <w:rFonts w:ascii="仿宋" w:hAnsi="仿宋" w:eastAsia="仿宋" w:cs="仿宋"/>
          <w:sz w:val="32"/>
          <w:szCs w:val="32"/>
          <w:lang w:val="zh-CN"/>
        </w:rPr>
      </w:pPr>
      <w:r>
        <w:rPr>
          <w:rFonts w:hint="eastAsia" w:ascii="仿宋" w:hAnsi="仿宋" w:eastAsia="仿宋" w:cs="仿宋"/>
          <w:sz w:val="32"/>
          <w:szCs w:val="32"/>
        </w:rPr>
        <w:t>学校建立了网络平台，做到了资源共享，建立微信公众号，可及时发布信息，班主任与家长和学生建立了微信及QQ群，方便及时沟通交流。</w:t>
      </w:r>
    </w:p>
    <w:p>
      <w:pPr>
        <w:pStyle w:val="3"/>
      </w:pPr>
      <w:bookmarkStart w:id="26" w:name="_Toc18961"/>
      <w:r>
        <w:rPr>
          <w:rFonts w:hint="eastAsia"/>
        </w:rPr>
        <w:t>5.4经费投入</w:t>
      </w:r>
      <w:bookmarkEnd w:id="26"/>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政策性经费（国家免学费和助学金）115.8万元。在校学生1065人，全部享受到国家免学费，142名学生享受到国家助学金。</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整体提升改造项目目前完成年度投资约3000万元，新建的标准化体育运动中心投入使用。为所有教师配备了办公电脑，现代化信息教学手段得到广泛应用。完成了给排水及电路改造工程，给排水、电路全部移至地下管网。更换了北教学楼、男生公寓的门窗并进行了重新粉刷，改善了学生的生活条件和学习环境。</w:t>
      </w:r>
    </w:p>
    <w:p>
      <w:pPr>
        <w:pStyle w:val="2"/>
      </w:pPr>
      <w:bookmarkStart w:id="27" w:name="_Toc32529"/>
      <w:r>
        <w:rPr>
          <w:rFonts w:hint="eastAsia"/>
        </w:rPr>
        <w:t>6.面临挑战与改进措施</w:t>
      </w:r>
      <w:bookmarkEnd w:id="27"/>
    </w:p>
    <w:p>
      <w:pPr>
        <w:pStyle w:val="3"/>
      </w:pPr>
      <w:bookmarkStart w:id="28" w:name="_Toc31332"/>
      <w:r>
        <w:rPr>
          <w:rFonts w:hint="eastAsia"/>
        </w:rPr>
        <w:t>6.1面临挑战</w:t>
      </w:r>
      <w:bookmarkEnd w:id="28"/>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6.1.1挑战一：</w:t>
      </w:r>
      <w:r>
        <w:rPr>
          <w:rFonts w:hint="eastAsia" w:ascii="仿宋" w:hAnsi="仿宋" w:eastAsia="仿宋" w:cs="仿宋"/>
          <w:sz w:val="32"/>
          <w:szCs w:val="32"/>
        </w:rPr>
        <w:t>基础设施正在提升改造之中，随着国家对职业教育的大力支持和政策倾斜，我校基础设施建设有了很大改善，但由于我校建校时间早，基础差，底子薄，一些基础设施仍较陈旧：实训、餐厅、图书、阅览等用房还跟不上学校发展的需求，预计2023年能够基本到位。</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6.1.2挑战二：</w:t>
      </w:r>
      <w:r>
        <w:rPr>
          <w:rFonts w:hint="eastAsia" w:ascii="仿宋" w:hAnsi="仿宋" w:eastAsia="仿宋" w:cs="仿宋"/>
          <w:sz w:val="32"/>
          <w:szCs w:val="32"/>
        </w:rPr>
        <w:t>师资队伍仍较薄弱：近两年虽然新调入了近20名年轻教师，但由于学校教师老龄化程度严重，师资力量仍然不足，尤其是专业课教师和双师型教师不足，学校将通过县教育局继续调入一批专业性强的教师，同时还将继续加强现有师资培训，不断提高教师的业务能力和教学水平。</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6.1.3挑战三：</w:t>
      </w:r>
      <w:r>
        <w:rPr>
          <w:rFonts w:hint="eastAsia" w:ascii="仿宋" w:hAnsi="仿宋" w:eastAsia="仿宋" w:cs="仿宋"/>
          <w:bCs/>
          <w:sz w:val="32"/>
          <w:szCs w:val="32"/>
        </w:rPr>
        <w:t>实训室建设还不健全：目前已建成20余个信息类、艺术类、智能制造类实训室。机电技术应用专业和应急救援</w:t>
      </w:r>
    </w:p>
    <w:p>
      <w:pPr>
        <w:spacing w:line="600" w:lineRule="exact"/>
        <w:rPr>
          <w:rFonts w:ascii="仿宋" w:hAnsi="仿宋" w:eastAsia="仿宋" w:cs="仿宋"/>
          <w:sz w:val="32"/>
          <w:szCs w:val="32"/>
        </w:rPr>
      </w:pPr>
      <w:r>
        <w:rPr>
          <w:rFonts w:hint="eastAsia" w:ascii="仿宋" w:hAnsi="仿宋" w:eastAsia="仿宋" w:cs="仿宋"/>
          <w:sz w:val="32"/>
          <w:szCs w:val="32"/>
        </w:rPr>
        <w:t>技术专业的实训室将在苹果产业实训楼交付使用后建成。</w:t>
      </w:r>
    </w:p>
    <w:p>
      <w:pPr>
        <w:pStyle w:val="3"/>
      </w:pPr>
      <w:bookmarkStart w:id="29" w:name="_Toc25123"/>
      <w:r>
        <w:rPr>
          <w:rFonts w:hint="eastAsia"/>
        </w:rPr>
        <w:t>6.2改进措施</w:t>
      </w:r>
      <w:bookmarkEnd w:id="29"/>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6.2.1</w:t>
      </w:r>
      <w:r>
        <w:rPr>
          <w:rFonts w:hint="eastAsia" w:ascii="仿宋" w:hAnsi="仿宋" w:eastAsia="仿宋" w:cs="仿宋"/>
          <w:sz w:val="32"/>
          <w:szCs w:val="32"/>
        </w:rPr>
        <w:t>积极争取专项债资金，不断完善基础设施建设。图书楼、餐厅、就业创业培训中心等。</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6.2.2</w:t>
      </w:r>
      <w:r>
        <w:rPr>
          <w:rFonts w:hint="eastAsia" w:ascii="仿宋" w:hAnsi="仿宋" w:eastAsia="仿宋" w:cs="仿宋"/>
          <w:sz w:val="32"/>
          <w:szCs w:val="32"/>
        </w:rPr>
        <w:t>建设为“三农”服务的乡村振兴学院建设，开始实施乡村干部、新型农民培训，为县域经济发展提供人才支持。</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6.2.3</w:t>
      </w:r>
      <w:r>
        <w:rPr>
          <w:rFonts w:hint="eastAsia" w:ascii="仿宋" w:hAnsi="仿宋" w:eastAsia="仿宋" w:cs="仿宋"/>
          <w:sz w:val="32"/>
          <w:szCs w:val="32"/>
        </w:rPr>
        <w:t>酿酒工艺与技术专业招生，进一步拓宽专业方向</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6.2.4</w:t>
      </w:r>
      <w:r>
        <w:rPr>
          <w:rFonts w:hint="eastAsia" w:ascii="仿宋" w:hAnsi="仿宋" w:eastAsia="仿宋" w:cs="仿宋"/>
          <w:sz w:val="32"/>
          <w:szCs w:val="32"/>
        </w:rPr>
        <w:t>继续深化教育教学改革，按照专业设置与产业需求对接、课程内容与职业标准对接、教学过程与生产过程对接的要求，持续更新并推进专业教学标准、课程标准、实训条件标准等建设；深入开展校企合作、产教融合、中高职衔接；加快“1+X”证书的认定；高考优异成绩，就业良好。</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6.2.5</w:t>
      </w:r>
      <w:r>
        <w:rPr>
          <w:rFonts w:hint="eastAsia" w:ascii="仿宋" w:hAnsi="仿宋" w:eastAsia="仿宋" w:cs="仿宋"/>
          <w:sz w:val="32"/>
          <w:szCs w:val="32"/>
        </w:rPr>
        <w:t>多措并举加强师资队伍建设，努力建设高技能人才基地，积极打造“双师型”教师队伍；</w:t>
      </w:r>
    </w:p>
    <w:p>
      <w:pPr>
        <w:spacing w:line="600" w:lineRule="exact"/>
        <w:ind w:firstLine="643" w:firstLineChars="200"/>
        <w:rPr>
          <w:rFonts w:ascii="仿宋" w:hAnsi="仿宋" w:eastAsia="仿宋" w:cs="仿宋"/>
          <w:sz w:val="32"/>
          <w:szCs w:val="32"/>
        </w:rPr>
      </w:pPr>
      <w:r>
        <w:rPr>
          <w:rFonts w:hint="eastAsia" w:ascii="仿宋" w:hAnsi="仿宋" w:eastAsia="仿宋" w:cs="仿宋"/>
          <w:b/>
          <w:bCs/>
          <w:sz w:val="32"/>
          <w:szCs w:val="32"/>
        </w:rPr>
        <w:t>6.2.6</w:t>
      </w:r>
      <w:r>
        <w:rPr>
          <w:rFonts w:hint="eastAsia" w:ascii="仿宋" w:hAnsi="仿宋" w:eastAsia="仿宋" w:cs="仿宋"/>
          <w:sz w:val="32"/>
          <w:szCs w:val="32"/>
        </w:rPr>
        <w:t>加强学生管理，积极构建“三全育人”综合改革；进一步建立健全教育教学质量评价、评估制度，努力培养能工巧匠，大国工匠。</w:t>
      </w:r>
    </w:p>
    <w:p>
      <w:pPr>
        <w:spacing w:line="600" w:lineRule="exact"/>
        <w:ind w:firstLine="640" w:firstLineChars="200"/>
        <w:rPr>
          <w:rFonts w:ascii="仿宋" w:hAnsi="仿宋" w:eastAsia="仿宋" w:cs="仿宋"/>
          <w:sz w:val="32"/>
          <w:szCs w:val="32"/>
        </w:rPr>
      </w:pPr>
    </w:p>
    <w:p>
      <w:pPr>
        <w:pStyle w:val="2"/>
      </w:pPr>
      <w:bookmarkStart w:id="30" w:name="_Toc25516"/>
      <w:r>
        <w:rPr>
          <w:rFonts w:hint="eastAsia"/>
        </w:rPr>
        <w:t>附表（中职）</w:t>
      </w:r>
      <w:bookmarkEnd w:id="30"/>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表1 中等职业教育质量数据表</w:t>
      </w:r>
    </w:p>
    <w:p>
      <w:pPr>
        <w:spacing w:line="600" w:lineRule="exact"/>
        <w:ind w:firstLine="640" w:firstLineChars="200"/>
        <w:rPr>
          <w:rFonts w:ascii="仿宋" w:hAnsi="仿宋" w:eastAsia="仿宋" w:cs="仿宋"/>
          <w:sz w:val="32"/>
          <w:szCs w:val="32"/>
        </w:rPr>
      </w:pPr>
      <w:r>
        <w:rPr>
          <w:rFonts w:hint="eastAsia" w:ascii="仿宋" w:hAnsi="仿宋" w:eastAsia="仿宋" w:cs="仿宋"/>
          <w:sz w:val="32"/>
          <w:szCs w:val="32"/>
        </w:rPr>
        <w:t>表2 满意度调查表</w:t>
      </w:r>
    </w:p>
    <w:p>
      <w:pPr>
        <w:spacing w:line="600" w:lineRule="exact"/>
        <w:rPr>
          <w:rFonts w:ascii="仿宋" w:hAnsi="仿宋" w:eastAsia="仿宋" w:cs="仿宋"/>
          <w:sz w:val="32"/>
          <w:szCs w:val="32"/>
        </w:rPr>
      </w:pPr>
      <w:r>
        <w:rPr>
          <w:rFonts w:hint="eastAsia" w:ascii="仿宋" w:hAnsi="仿宋" w:eastAsia="仿宋" w:cs="仿宋"/>
          <w:sz w:val="32"/>
          <w:szCs w:val="32"/>
        </w:rPr>
        <w:t xml:space="preserve">表1 </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980"/>
        <w:gridCol w:w="1365"/>
        <w:gridCol w:w="11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0680" w:type="dxa"/>
            <w:gridSpan w:val="3"/>
            <w:noWrap/>
          </w:tcPr>
          <w:p>
            <w:pPr>
              <w:spacing w:line="600" w:lineRule="exact"/>
              <w:jc w:val="center"/>
              <w:rPr>
                <w:rFonts w:ascii="仿宋" w:hAnsi="仿宋" w:eastAsia="仿宋" w:cs="仿宋"/>
                <w:b/>
                <w:bCs/>
                <w:sz w:val="28"/>
                <w:szCs w:val="28"/>
              </w:rPr>
            </w:pPr>
            <w:r>
              <w:rPr>
                <w:rFonts w:ascii="仿宋" w:hAnsi="仿宋" w:eastAsia="仿宋" w:cs="仿宋"/>
                <w:b/>
                <w:bCs/>
                <w:sz w:val="28"/>
                <w:szCs w:val="28"/>
              </w:rPr>
              <w:t>中等职业教育质量数据表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b/>
                <w:bCs/>
                <w:sz w:val="28"/>
                <w:szCs w:val="28"/>
              </w:rPr>
            </w:pPr>
            <w:r>
              <w:rPr>
                <w:rFonts w:hint="eastAsia" w:ascii="仿宋" w:hAnsi="仿宋" w:eastAsia="仿宋" w:cs="仿宋"/>
                <w:b/>
                <w:bCs/>
                <w:sz w:val="28"/>
                <w:szCs w:val="28"/>
              </w:rPr>
              <w:t>指标</w:t>
            </w:r>
          </w:p>
        </w:tc>
        <w:tc>
          <w:tcPr>
            <w:tcW w:w="1680" w:type="dxa"/>
          </w:tcPr>
          <w:p>
            <w:pPr>
              <w:spacing w:line="600" w:lineRule="exact"/>
              <w:jc w:val="center"/>
              <w:rPr>
                <w:rFonts w:ascii="仿宋" w:hAnsi="仿宋" w:eastAsia="仿宋" w:cs="仿宋"/>
                <w:b/>
                <w:bCs/>
                <w:sz w:val="28"/>
                <w:szCs w:val="28"/>
              </w:rPr>
            </w:pPr>
            <w:r>
              <w:rPr>
                <w:rFonts w:hint="eastAsia" w:ascii="仿宋" w:hAnsi="仿宋" w:eastAsia="仿宋" w:cs="仿宋"/>
                <w:b/>
                <w:bCs/>
                <w:sz w:val="28"/>
                <w:szCs w:val="28"/>
              </w:rPr>
              <w:t>单位</w:t>
            </w:r>
          </w:p>
        </w:tc>
        <w:tc>
          <w:tcPr>
            <w:tcW w:w="1440" w:type="dxa"/>
          </w:tcPr>
          <w:p>
            <w:pPr>
              <w:spacing w:line="600" w:lineRule="exact"/>
              <w:jc w:val="center"/>
              <w:rPr>
                <w:rFonts w:ascii="仿宋" w:hAnsi="仿宋" w:eastAsia="仿宋" w:cs="仿宋"/>
                <w:b/>
                <w:bCs/>
                <w:sz w:val="28"/>
                <w:szCs w:val="28"/>
              </w:rPr>
            </w:pPr>
            <w:r>
              <w:rPr>
                <w:rFonts w:hint="eastAsia" w:ascii="仿宋" w:hAnsi="仿宋" w:eastAsia="仿宋" w:cs="仿宋"/>
                <w:b/>
                <w:bCs/>
                <w:sz w:val="28"/>
                <w:szCs w:val="28"/>
              </w:rPr>
              <w:t>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思政课程教师数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德育工作人员数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班主任数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德育活动学生参与数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其中：国家级</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省级</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地市级</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体育课专任教师数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美育课专任教师数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升学总人数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其中：通过贯通培养升学人数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通过五年一贯制培养升学人数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通过职教高考升学人数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升入职业本科人数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升入普通本科人数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升入专科人数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全日制在校生数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专业数量</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个</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课程总量</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门</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参加国家学生体质健康标准测试人数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1246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学生体质测评合格率</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全国职业院校技能大赛学生获奖人数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全国职业技能大赛学生获奖人数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职业技能等级证书（含职业资格证书）获取人数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生均校园用地面积</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平方米</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生均校舍建筑面积</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平方米</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生均教学、实习仪器设备资产值</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元</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年生均财政拨款</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元</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纸质图书数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册</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电子图书资源数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册</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校园网主干最大带宽</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Mbps</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教职员工额定编制数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143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教职员工总数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专任教师数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其中：专业教师数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生师比</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双师型教师总数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高级专业技术职务专任教师占比</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硕士研究生及以上学历专任教师占比</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兼职教师总数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毕业生总数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就业人数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毕业生专业对口就业（升学）人数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毕业生服务三次产业人数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其中：服务第一产业人数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服务第二产业人数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服务第三产业人数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合作企业接收教师企业实践人数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合作企业接收学生实习比例</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企业对学校捐赠设备总值</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万元</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接收国际学生人数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人</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开展分段培养中外合作专业数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个</w:t>
            </w:r>
          </w:p>
        </w:tc>
        <w:tc>
          <w:tcPr>
            <w:tcW w:w="1440" w:type="dxa"/>
          </w:tcPr>
          <w:p>
            <w:pPr>
              <w:spacing w:line="600" w:lineRule="exact"/>
              <w:jc w:val="center"/>
              <w:rPr>
                <w:rFonts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56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开发并被国（境）外采用的课程数</w:t>
            </w:r>
          </w:p>
        </w:tc>
        <w:tc>
          <w:tcPr>
            <w:tcW w:w="1680" w:type="dxa"/>
          </w:tcPr>
          <w:p>
            <w:pPr>
              <w:spacing w:line="600" w:lineRule="exact"/>
              <w:jc w:val="center"/>
              <w:rPr>
                <w:rFonts w:ascii="仿宋" w:hAnsi="仿宋" w:eastAsia="仿宋" w:cs="仿宋"/>
                <w:sz w:val="28"/>
                <w:szCs w:val="28"/>
              </w:rPr>
            </w:pPr>
            <w:r>
              <w:rPr>
                <w:rFonts w:hint="eastAsia" w:ascii="仿宋" w:hAnsi="仿宋" w:eastAsia="仿宋" w:cs="仿宋"/>
                <w:sz w:val="28"/>
                <w:szCs w:val="28"/>
              </w:rPr>
              <w:t>门</w:t>
            </w:r>
          </w:p>
        </w:tc>
        <w:tc>
          <w:tcPr>
            <w:tcW w:w="1440" w:type="dxa"/>
          </w:tcPr>
          <w:p>
            <w:pPr>
              <w:spacing w:line="600" w:lineRule="exact"/>
              <w:jc w:val="center"/>
              <w:rPr>
                <w:rFonts w:ascii="仿宋" w:hAnsi="仿宋" w:eastAsia="仿宋" w:cs="仿宋"/>
                <w:sz w:val="28"/>
                <w:szCs w:val="28"/>
              </w:rPr>
            </w:pPr>
          </w:p>
        </w:tc>
      </w:tr>
    </w:tbl>
    <w:p>
      <w:pPr>
        <w:spacing w:line="600" w:lineRule="exact"/>
        <w:rPr>
          <w:rFonts w:ascii="仿宋" w:hAnsi="仿宋" w:eastAsia="仿宋" w:cs="仿宋"/>
          <w:sz w:val="32"/>
          <w:szCs w:val="32"/>
        </w:rPr>
      </w:pPr>
      <w:r>
        <w:rPr>
          <w:rFonts w:ascii="仿宋" w:hAnsi="仿宋" w:eastAsia="仿宋" w:cs="仿宋"/>
          <w:sz w:val="32"/>
          <w:szCs w:val="32"/>
        </w:rPr>
        <w:t>表</w:t>
      </w:r>
      <w:r>
        <w:rPr>
          <w:rFonts w:hint="eastAsia" w:ascii="仿宋" w:hAnsi="仿宋" w:eastAsia="仿宋" w:cs="仿宋"/>
          <w:sz w:val="32"/>
          <w:szCs w:val="32"/>
        </w:rPr>
        <w:t xml:space="preserve">2 </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077"/>
        <w:gridCol w:w="851"/>
        <w:gridCol w:w="709"/>
        <w:gridCol w:w="1417"/>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8522" w:type="dxa"/>
            <w:gridSpan w:val="5"/>
            <w:noWrap/>
          </w:tcPr>
          <w:p>
            <w:pPr>
              <w:spacing w:line="600" w:lineRule="exact"/>
              <w:rPr>
                <w:rFonts w:ascii="仿宋" w:hAnsi="仿宋" w:eastAsia="仿宋" w:cs="仿宋"/>
                <w:b/>
                <w:bCs/>
                <w:sz w:val="28"/>
                <w:szCs w:val="28"/>
              </w:rPr>
            </w:pPr>
            <w:r>
              <w:rPr>
                <w:rFonts w:ascii="仿宋" w:hAnsi="仿宋" w:eastAsia="仿宋" w:cs="仿宋"/>
                <w:b/>
                <w:bCs/>
                <w:sz w:val="28"/>
                <w:szCs w:val="28"/>
              </w:rPr>
              <w:t>中等职业教育满意度调查表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b/>
                <w:bCs/>
                <w:sz w:val="28"/>
                <w:szCs w:val="28"/>
              </w:rPr>
            </w:pPr>
            <w:r>
              <w:rPr>
                <w:rFonts w:hint="eastAsia" w:ascii="仿宋" w:hAnsi="仿宋" w:eastAsia="仿宋" w:cs="仿宋"/>
                <w:b/>
                <w:bCs/>
                <w:sz w:val="28"/>
                <w:szCs w:val="28"/>
              </w:rPr>
              <w:t>指标</w:t>
            </w:r>
          </w:p>
        </w:tc>
        <w:tc>
          <w:tcPr>
            <w:tcW w:w="851" w:type="dxa"/>
          </w:tcPr>
          <w:p>
            <w:pPr>
              <w:spacing w:line="600" w:lineRule="exact"/>
              <w:rPr>
                <w:rFonts w:ascii="仿宋" w:hAnsi="仿宋" w:eastAsia="仿宋" w:cs="仿宋"/>
                <w:b/>
                <w:bCs/>
                <w:sz w:val="28"/>
                <w:szCs w:val="28"/>
              </w:rPr>
            </w:pPr>
            <w:r>
              <w:rPr>
                <w:rFonts w:hint="eastAsia" w:ascii="仿宋" w:hAnsi="仿宋" w:eastAsia="仿宋" w:cs="仿宋"/>
                <w:b/>
                <w:bCs/>
                <w:sz w:val="28"/>
                <w:szCs w:val="28"/>
              </w:rPr>
              <w:t>单位</w:t>
            </w:r>
          </w:p>
        </w:tc>
        <w:tc>
          <w:tcPr>
            <w:tcW w:w="709" w:type="dxa"/>
          </w:tcPr>
          <w:p>
            <w:pPr>
              <w:spacing w:line="600" w:lineRule="exact"/>
              <w:rPr>
                <w:rFonts w:ascii="仿宋" w:hAnsi="仿宋" w:eastAsia="仿宋" w:cs="仿宋"/>
                <w:b/>
                <w:bCs/>
                <w:sz w:val="28"/>
                <w:szCs w:val="28"/>
              </w:rPr>
            </w:pPr>
            <w:r>
              <w:rPr>
                <w:rFonts w:hint="eastAsia" w:ascii="仿宋" w:hAnsi="仿宋" w:eastAsia="仿宋" w:cs="仿宋"/>
                <w:b/>
                <w:bCs/>
                <w:sz w:val="28"/>
                <w:szCs w:val="28"/>
              </w:rPr>
              <w:t>值</w:t>
            </w:r>
          </w:p>
        </w:tc>
        <w:tc>
          <w:tcPr>
            <w:tcW w:w="1417" w:type="dxa"/>
          </w:tcPr>
          <w:p>
            <w:pPr>
              <w:spacing w:line="600" w:lineRule="exact"/>
              <w:rPr>
                <w:rFonts w:ascii="仿宋" w:hAnsi="仿宋" w:eastAsia="仿宋" w:cs="仿宋"/>
                <w:b/>
                <w:bCs/>
                <w:sz w:val="28"/>
                <w:szCs w:val="28"/>
              </w:rPr>
            </w:pPr>
            <w:r>
              <w:rPr>
                <w:rFonts w:hint="eastAsia" w:ascii="仿宋" w:hAnsi="仿宋" w:eastAsia="仿宋" w:cs="仿宋"/>
                <w:b/>
                <w:bCs/>
                <w:sz w:val="28"/>
                <w:szCs w:val="28"/>
              </w:rPr>
              <w:t>调查方式</w:t>
            </w:r>
          </w:p>
        </w:tc>
        <w:tc>
          <w:tcPr>
            <w:tcW w:w="1468" w:type="dxa"/>
          </w:tcPr>
          <w:p>
            <w:pPr>
              <w:spacing w:line="600" w:lineRule="exact"/>
              <w:rPr>
                <w:rFonts w:ascii="仿宋" w:hAnsi="仿宋" w:eastAsia="仿宋" w:cs="仿宋"/>
                <w:b/>
                <w:bCs/>
                <w:sz w:val="28"/>
                <w:szCs w:val="28"/>
              </w:rPr>
            </w:pPr>
            <w:r>
              <w:rPr>
                <w:rFonts w:hint="eastAsia" w:ascii="仿宋" w:hAnsi="仿宋" w:eastAsia="仿宋" w:cs="仿宋"/>
                <w:b/>
                <w:bCs/>
                <w:sz w:val="28"/>
                <w:szCs w:val="28"/>
              </w:rPr>
              <w:t>调查人次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在校生满意度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其中：课堂育人满意度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　　　课外育人满意度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　　　思想政治课教学满意度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　　　公共基础课（不含思想政治课）教学满意度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　　　专业课教学满意度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毕业生满意度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　</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　</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其中：应届毕业生满意度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98</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　　　毕业三年内毕业生满意度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92</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教职工满意度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102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用人单位满意度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100</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4077" w:type="dxa"/>
          </w:tcPr>
          <w:p>
            <w:pPr>
              <w:spacing w:line="600" w:lineRule="exact"/>
              <w:rPr>
                <w:rFonts w:ascii="仿宋" w:hAnsi="仿宋" w:eastAsia="仿宋" w:cs="仿宋"/>
                <w:sz w:val="28"/>
                <w:szCs w:val="28"/>
              </w:rPr>
            </w:pPr>
            <w:r>
              <w:rPr>
                <w:rFonts w:hint="eastAsia" w:ascii="仿宋" w:hAnsi="仿宋" w:eastAsia="仿宋" w:cs="仿宋"/>
                <w:sz w:val="28"/>
                <w:szCs w:val="28"/>
              </w:rPr>
              <w:t>家长满意度</w:t>
            </w:r>
          </w:p>
        </w:tc>
        <w:tc>
          <w:tcPr>
            <w:tcW w:w="851" w:type="dxa"/>
          </w:tcPr>
          <w:p>
            <w:pPr>
              <w:spacing w:line="600" w:lineRule="exact"/>
              <w:rPr>
                <w:rFonts w:ascii="仿宋" w:hAnsi="仿宋" w:eastAsia="仿宋" w:cs="仿宋"/>
                <w:sz w:val="28"/>
                <w:szCs w:val="28"/>
              </w:rPr>
            </w:pPr>
            <w:r>
              <w:rPr>
                <w:rFonts w:hint="eastAsia" w:ascii="仿宋" w:hAnsi="仿宋" w:eastAsia="仿宋" w:cs="仿宋"/>
                <w:sz w:val="28"/>
                <w:szCs w:val="28"/>
              </w:rPr>
              <w:t>%</w:t>
            </w:r>
          </w:p>
        </w:tc>
        <w:tc>
          <w:tcPr>
            <w:tcW w:w="709" w:type="dxa"/>
          </w:tcPr>
          <w:p>
            <w:pPr>
              <w:spacing w:line="600" w:lineRule="exact"/>
              <w:rPr>
                <w:rFonts w:ascii="仿宋" w:hAnsi="仿宋" w:eastAsia="仿宋" w:cs="仿宋"/>
                <w:sz w:val="28"/>
                <w:szCs w:val="28"/>
              </w:rPr>
            </w:pPr>
            <w:r>
              <w:rPr>
                <w:rFonts w:hint="eastAsia" w:ascii="仿宋" w:hAnsi="仿宋" w:eastAsia="仿宋" w:cs="仿宋"/>
                <w:sz w:val="28"/>
                <w:szCs w:val="28"/>
              </w:rPr>
              <w:t>97</w:t>
            </w:r>
          </w:p>
        </w:tc>
        <w:tc>
          <w:tcPr>
            <w:tcW w:w="1417" w:type="dxa"/>
          </w:tcPr>
          <w:p>
            <w:pPr>
              <w:spacing w:line="600" w:lineRule="exact"/>
              <w:rPr>
                <w:rFonts w:ascii="仿宋" w:hAnsi="仿宋" w:eastAsia="仿宋" w:cs="仿宋"/>
                <w:sz w:val="28"/>
                <w:szCs w:val="28"/>
              </w:rPr>
            </w:pPr>
            <w:r>
              <w:rPr>
                <w:rFonts w:hint="eastAsia" w:ascii="仿宋" w:hAnsi="仿宋" w:eastAsia="仿宋" w:cs="仿宋"/>
                <w:sz w:val="28"/>
                <w:szCs w:val="28"/>
              </w:rPr>
              <w:t>抽样调查</w:t>
            </w:r>
          </w:p>
        </w:tc>
        <w:tc>
          <w:tcPr>
            <w:tcW w:w="1468" w:type="dxa"/>
          </w:tcPr>
          <w:p>
            <w:pPr>
              <w:spacing w:line="600" w:lineRule="exact"/>
              <w:rPr>
                <w:rFonts w:ascii="仿宋" w:hAnsi="仿宋" w:eastAsia="仿宋" w:cs="仿宋"/>
                <w:sz w:val="28"/>
                <w:szCs w:val="28"/>
              </w:rPr>
            </w:pPr>
            <w:r>
              <w:rPr>
                <w:rFonts w:hint="eastAsia" w:ascii="仿宋" w:hAnsi="仿宋" w:eastAsia="仿宋" w:cs="仿宋"/>
                <w:sz w:val="28"/>
                <w:szCs w:val="28"/>
              </w:rPr>
              <w:t>300</w:t>
            </w:r>
          </w:p>
        </w:tc>
      </w:tr>
    </w:tbl>
    <w:p>
      <w:pPr>
        <w:spacing w:line="600" w:lineRule="exact"/>
        <w:rPr>
          <w:rFonts w:ascii="仿宋" w:hAnsi="仿宋" w:eastAsia="仿宋" w:cs="仿宋"/>
          <w:sz w:val="32"/>
          <w:szCs w:val="32"/>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NiN2JjMzg3NTg4YmM3MTliMzUwZGMzYTBmODRhY2YifQ=="/>
  </w:docVars>
  <w:rsids>
    <w:rsidRoot w:val="7F13527A"/>
    <w:rsid w:val="00021A3E"/>
    <w:rsid w:val="00044A6D"/>
    <w:rsid w:val="000556EC"/>
    <w:rsid w:val="000B6F17"/>
    <w:rsid w:val="000E25C0"/>
    <w:rsid w:val="000F3E61"/>
    <w:rsid w:val="00104B2C"/>
    <w:rsid w:val="001344FF"/>
    <w:rsid w:val="00174AB1"/>
    <w:rsid w:val="00184917"/>
    <w:rsid w:val="001C0920"/>
    <w:rsid w:val="001C11B1"/>
    <w:rsid w:val="00225DEF"/>
    <w:rsid w:val="00234085"/>
    <w:rsid w:val="00241C54"/>
    <w:rsid w:val="002523C1"/>
    <w:rsid w:val="00256C6D"/>
    <w:rsid w:val="00273D84"/>
    <w:rsid w:val="0027562E"/>
    <w:rsid w:val="002B13D2"/>
    <w:rsid w:val="002C6A0E"/>
    <w:rsid w:val="002E2A9B"/>
    <w:rsid w:val="002E61BB"/>
    <w:rsid w:val="00311854"/>
    <w:rsid w:val="003244BD"/>
    <w:rsid w:val="00332540"/>
    <w:rsid w:val="003613AF"/>
    <w:rsid w:val="003B636B"/>
    <w:rsid w:val="003B7DAA"/>
    <w:rsid w:val="003D6D27"/>
    <w:rsid w:val="004359A1"/>
    <w:rsid w:val="00451316"/>
    <w:rsid w:val="00454AD0"/>
    <w:rsid w:val="00467135"/>
    <w:rsid w:val="004B40F1"/>
    <w:rsid w:val="00562256"/>
    <w:rsid w:val="005C176E"/>
    <w:rsid w:val="005C7529"/>
    <w:rsid w:val="00631A59"/>
    <w:rsid w:val="00670BFA"/>
    <w:rsid w:val="00716DB7"/>
    <w:rsid w:val="0072348A"/>
    <w:rsid w:val="00725718"/>
    <w:rsid w:val="007403B1"/>
    <w:rsid w:val="00751ADC"/>
    <w:rsid w:val="00753822"/>
    <w:rsid w:val="00754746"/>
    <w:rsid w:val="007608C3"/>
    <w:rsid w:val="0077348F"/>
    <w:rsid w:val="007B1D38"/>
    <w:rsid w:val="007C6FC2"/>
    <w:rsid w:val="007E0306"/>
    <w:rsid w:val="007E5B91"/>
    <w:rsid w:val="007F7D8B"/>
    <w:rsid w:val="00800A56"/>
    <w:rsid w:val="00841CED"/>
    <w:rsid w:val="00851D70"/>
    <w:rsid w:val="008556F4"/>
    <w:rsid w:val="00866051"/>
    <w:rsid w:val="00890A28"/>
    <w:rsid w:val="008B49D0"/>
    <w:rsid w:val="008D4229"/>
    <w:rsid w:val="00937DA6"/>
    <w:rsid w:val="009402B9"/>
    <w:rsid w:val="00941BD0"/>
    <w:rsid w:val="009918F3"/>
    <w:rsid w:val="009D3022"/>
    <w:rsid w:val="009D7DBE"/>
    <w:rsid w:val="009E22AA"/>
    <w:rsid w:val="00A17A4F"/>
    <w:rsid w:val="00A25A86"/>
    <w:rsid w:val="00A40C91"/>
    <w:rsid w:val="00A67BB6"/>
    <w:rsid w:val="00AA128B"/>
    <w:rsid w:val="00AD7899"/>
    <w:rsid w:val="00AE347F"/>
    <w:rsid w:val="00AF4FB2"/>
    <w:rsid w:val="00AF7F49"/>
    <w:rsid w:val="00B065D9"/>
    <w:rsid w:val="00B3244A"/>
    <w:rsid w:val="00B423DE"/>
    <w:rsid w:val="00B42DED"/>
    <w:rsid w:val="00B447BC"/>
    <w:rsid w:val="00B76830"/>
    <w:rsid w:val="00BC43CE"/>
    <w:rsid w:val="00BD60D2"/>
    <w:rsid w:val="00BE24B1"/>
    <w:rsid w:val="00BE7785"/>
    <w:rsid w:val="00C31D4E"/>
    <w:rsid w:val="00C3719B"/>
    <w:rsid w:val="00C40DE0"/>
    <w:rsid w:val="00C431B2"/>
    <w:rsid w:val="00C56912"/>
    <w:rsid w:val="00C645BD"/>
    <w:rsid w:val="00C717F5"/>
    <w:rsid w:val="00CA677A"/>
    <w:rsid w:val="00CB3613"/>
    <w:rsid w:val="00CC4AD0"/>
    <w:rsid w:val="00CC68C4"/>
    <w:rsid w:val="00D72D18"/>
    <w:rsid w:val="00D83E27"/>
    <w:rsid w:val="00D97B18"/>
    <w:rsid w:val="00DF6642"/>
    <w:rsid w:val="00E21A72"/>
    <w:rsid w:val="00E636B7"/>
    <w:rsid w:val="00EC199B"/>
    <w:rsid w:val="00ED1B75"/>
    <w:rsid w:val="00F17A96"/>
    <w:rsid w:val="00F2071E"/>
    <w:rsid w:val="00F605F0"/>
    <w:rsid w:val="00F85DF8"/>
    <w:rsid w:val="00F86A23"/>
    <w:rsid w:val="00FC63EF"/>
    <w:rsid w:val="011B69D1"/>
    <w:rsid w:val="04782378"/>
    <w:rsid w:val="04C7063E"/>
    <w:rsid w:val="0609419D"/>
    <w:rsid w:val="09ED0DAE"/>
    <w:rsid w:val="0BBA5A4F"/>
    <w:rsid w:val="0C193AD3"/>
    <w:rsid w:val="11223FAF"/>
    <w:rsid w:val="18F624F6"/>
    <w:rsid w:val="1C6F1716"/>
    <w:rsid w:val="22F4103E"/>
    <w:rsid w:val="30D074EF"/>
    <w:rsid w:val="32904240"/>
    <w:rsid w:val="35895450"/>
    <w:rsid w:val="38A04AB1"/>
    <w:rsid w:val="3A8E7FBE"/>
    <w:rsid w:val="404F6A52"/>
    <w:rsid w:val="40B05C25"/>
    <w:rsid w:val="461F5F7F"/>
    <w:rsid w:val="462A2E27"/>
    <w:rsid w:val="4C52005C"/>
    <w:rsid w:val="5C4F4291"/>
    <w:rsid w:val="5F110201"/>
    <w:rsid w:val="5F70136B"/>
    <w:rsid w:val="60A16C4B"/>
    <w:rsid w:val="617149A4"/>
    <w:rsid w:val="64721DF8"/>
    <w:rsid w:val="67017091"/>
    <w:rsid w:val="677007A9"/>
    <w:rsid w:val="67FC2C11"/>
    <w:rsid w:val="715F4CE5"/>
    <w:rsid w:val="7554396C"/>
    <w:rsid w:val="75700FCE"/>
    <w:rsid w:val="7AF95E48"/>
    <w:rsid w:val="7F1352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39"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19"/>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20"/>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3">
    <w:name w:val="Default Paragraph Font"/>
    <w:semiHidden/>
    <w:unhideWhenUsed/>
    <w:uiPriority w:val="1"/>
  </w:style>
  <w:style w:type="table" w:default="1" w:styleId="11">
    <w:name w:val="Normal Table"/>
    <w:semiHidden/>
    <w:unhideWhenUsed/>
    <w:uiPriority w:val="99"/>
    <w:tblPr>
      <w:tblCellMar>
        <w:top w:w="0" w:type="dxa"/>
        <w:left w:w="108" w:type="dxa"/>
        <w:bottom w:w="0" w:type="dxa"/>
        <w:right w:w="108" w:type="dxa"/>
      </w:tblCellMar>
    </w:tblPr>
  </w:style>
  <w:style w:type="paragraph" w:styleId="4">
    <w:name w:val="Date"/>
    <w:basedOn w:val="1"/>
    <w:next w:val="1"/>
    <w:link w:val="17"/>
    <w:qFormat/>
    <w:uiPriority w:val="0"/>
    <w:pPr>
      <w:ind w:left="100" w:leftChars="2500"/>
    </w:pPr>
  </w:style>
  <w:style w:type="paragraph" w:styleId="5">
    <w:name w:val="Balloon Text"/>
    <w:basedOn w:val="1"/>
    <w:link w:val="22"/>
    <w:uiPriority w:val="0"/>
    <w:rPr>
      <w:sz w:val="18"/>
      <w:szCs w:val="18"/>
    </w:rPr>
  </w:style>
  <w:style w:type="paragraph" w:styleId="6">
    <w:name w:val="footer"/>
    <w:basedOn w:val="1"/>
    <w:link w:val="18"/>
    <w:qFormat/>
    <w:uiPriority w:val="99"/>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uiPriority w:val="39"/>
  </w:style>
  <w:style w:type="paragraph" w:styleId="9">
    <w:name w:val="toc 2"/>
    <w:basedOn w:val="1"/>
    <w:next w:val="1"/>
    <w:uiPriority w:val="39"/>
    <w:pPr>
      <w:ind w:left="420" w:leftChars="200"/>
    </w:pPr>
  </w:style>
  <w:style w:type="paragraph" w:styleId="10">
    <w:name w:val="Normal (Web)"/>
    <w:basedOn w:val="1"/>
    <w:qFormat/>
    <w:uiPriority w:val="0"/>
    <w:pPr>
      <w:spacing w:beforeAutospacing="1" w:afterAutospacing="1"/>
      <w:jc w:val="left"/>
    </w:pPr>
    <w:rPr>
      <w:kern w:val="0"/>
      <w:sz w:val="24"/>
    </w:rPr>
  </w:style>
  <w:style w:type="table" w:styleId="12">
    <w:name w:val="Table Grid"/>
    <w:basedOn w:val="11"/>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4">
    <w:name w:val="Hyperlink"/>
    <w:basedOn w:val="13"/>
    <w:unhideWhenUsed/>
    <w:uiPriority w:val="99"/>
    <w:rPr>
      <w:color w:val="0563C1" w:themeColor="hyperlink"/>
      <w:u w:val="single"/>
      <w14:textFill>
        <w14:solidFill>
          <w14:schemeClr w14:val="hlink"/>
        </w14:solidFill>
      </w14:textFill>
    </w:rPr>
  </w:style>
  <w:style w:type="character" w:customStyle="1" w:styleId="15">
    <w:name w:val="NormalCharacter"/>
    <w:semiHidden/>
    <w:qFormat/>
    <w:uiPriority w:val="0"/>
    <w:rPr>
      <w:rFonts w:ascii="Calibri" w:hAnsi="Calibri" w:eastAsia="宋体" w:cs="Times New Roman"/>
      <w:kern w:val="2"/>
      <w:sz w:val="21"/>
      <w:szCs w:val="22"/>
      <w:lang w:val="en-US" w:eastAsia="zh-CN" w:bidi="ar-SA"/>
    </w:rPr>
  </w:style>
  <w:style w:type="paragraph" w:styleId="16">
    <w:name w:val="List Paragraph"/>
    <w:basedOn w:val="1"/>
    <w:unhideWhenUsed/>
    <w:qFormat/>
    <w:uiPriority w:val="99"/>
    <w:pPr>
      <w:ind w:firstLine="420" w:firstLineChars="200"/>
    </w:pPr>
  </w:style>
  <w:style w:type="character" w:customStyle="1" w:styleId="17">
    <w:name w:val="日期 Char"/>
    <w:basedOn w:val="13"/>
    <w:link w:val="4"/>
    <w:qFormat/>
    <w:uiPriority w:val="0"/>
    <w:rPr>
      <w:rFonts w:ascii="Calibri" w:hAnsi="Calibri"/>
      <w:kern w:val="2"/>
      <w:sz w:val="21"/>
      <w:szCs w:val="22"/>
    </w:rPr>
  </w:style>
  <w:style w:type="character" w:customStyle="1" w:styleId="18">
    <w:name w:val="页脚 Char"/>
    <w:basedOn w:val="13"/>
    <w:link w:val="6"/>
    <w:qFormat/>
    <w:uiPriority w:val="99"/>
    <w:rPr>
      <w:rFonts w:ascii="Calibri" w:hAnsi="Calibri"/>
      <w:kern w:val="2"/>
      <w:sz w:val="18"/>
      <w:szCs w:val="18"/>
    </w:rPr>
  </w:style>
  <w:style w:type="character" w:customStyle="1" w:styleId="19">
    <w:name w:val="标题 1 Char"/>
    <w:basedOn w:val="13"/>
    <w:link w:val="2"/>
    <w:uiPriority w:val="0"/>
    <w:rPr>
      <w:rFonts w:ascii="Calibri" w:hAnsi="Calibri"/>
      <w:b/>
      <w:bCs/>
      <w:kern w:val="44"/>
      <w:sz w:val="44"/>
      <w:szCs w:val="44"/>
    </w:rPr>
  </w:style>
  <w:style w:type="character" w:customStyle="1" w:styleId="20">
    <w:name w:val="标题 2 Char"/>
    <w:basedOn w:val="13"/>
    <w:link w:val="3"/>
    <w:uiPriority w:val="0"/>
    <w:rPr>
      <w:rFonts w:asciiTheme="majorHAnsi" w:hAnsiTheme="majorHAnsi" w:eastAsiaTheme="majorEastAsia" w:cstheme="majorBidi"/>
      <w:b/>
      <w:bCs/>
      <w:kern w:val="2"/>
      <w:sz w:val="32"/>
      <w:szCs w:val="32"/>
    </w:rPr>
  </w:style>
  <w:style w:type="paragraph" w:customStyle="1" w:styleId="21">
    <w:name w:val="TOC Heading"/>
    <w:basedOn w:val="2"/>
    <w:next w:val="1"/>
    <w:semiHidden/>
    <w:unhideWhenUsed/>
    <w:qFormat/>
    <w:uiPriority w:val="39"/>
    <w:pPr>
      <w:widowControl/>
      <w:spacing w:before="480" w:after="0" w:line="276" w:lineRule="auto"/>
      <w:jc w:val="left"/>
      <w:outlineLvl w:val="9"/>
    </w:pPr>
    <w:rPr>
      <w:rFonts w:asciiTheme="majorHAnsi" w:hAnsiTheme="majorHAnsi" w:eastAsiaTheme="majorEastAsia" w:cstheme="majorBidi"/>
      <w:color w:val="2E75B6" w:themeColor="accent1" w:themeShade="BF"/>
      <w:kern w:val="0"/>
      <w:sz w:val="28"/>
      <w:szCs w:val="28"/>
    </w:rPr>
  </w:style>
  <w:style w:type="character" w:customStyle="1" w:styleId="22">
    <w:name w:val="批注框文本 Char"/>
    <w:basedOn w:val="13"/>
    <w:link w:val="5"/>
    <w:uiPriority w:val="0"/>
    <w:rPr>
      <w:rFonts w:ascii="Calibri" w:hAnsi="Calibr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0D407D-A1AB-41EA-8F17-ECE5654CB430}">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29</Pages>
  <Words>9286</Words>
  <Characters>9729</Characters>
  <Lines>86</Lines>
  <Paragraphs>24</Paragraphs>
  <TotalTime>0</TotalTime>
  <ScaleCrop>false</ScaleCrop>
  <LinksUpToDate>false</LinksUpToDate>
  <CharactersWithSpaces>9977</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2020-12-22T09:06:00Z</dcterms:created>
  <dc:creator>刘艳</dc:creator>
  <cp:lastModifiedBy>糖～</cp:lastModifiedBy>
  <cp:lastPrinted>2023-01-08T08:46:00Z</cp:lastPrinted>
  <dcterms:modified xsi:type="dcterms:W3CDTF">2023-02-16T08:31:56Z</dcterms:modified>
  <cp:revision>199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0B510EFEC61D4695ADDBDC6D0077105C</vt:lpwstr>
  </property>
</Properties>
</file>